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9F2A43">
        <w:rPr>
          <w:sz w:val="26"/>
          <w:szCs w:val="26"/>
        </w:rPr>
        <w:t xml:space="preserve">April </w:t>
      </w:r>
      <w:r w:rsidR="00F527E8">
        <w:rPr>
          <w:sz w:val="26"/>
          <w:szCs w:val="26"/>
        </w:rPr>
        <w:t>15</w:t>
      </w:r>
      <w:r w:rsidRPr="00F461A6">
        <w:rPr>
          <w:sz w:val="26"/>
          <w:szCs w:val="26"/>
        </w:rPr>
        <w:t>, 20</w:t>
      </w:r>
      <w:r w:rsidR="00921D1C">
        <w:rPr>
          <w:sz w:val="26"/>
          <w:szCs w:val="26"/>
        </w:rPr>
        <w:t>10</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r w:rsidR="006B47F5">
        <w:rPr>
          <w:sz w:val="26"/>
          <w:szCs w:val="26"/>
        </w:rPr>
        <w:t>, Statement</w:t>
      </w:r>
    </w:p>
    <w:p w:rsidR="00F461A6" w:rsidRPr="00F461A6" w:rsidRDefault="00F461A6" w:rsidP="00F461A6">
      <w:pPr>
        <w:rPr>
          <w:sz w:val="26"/>
          <w:szCs w:val="26"/>
        </w:rPr>
      </w:pPr>
      <w:r w:rsidRPr="00F461A6">
        <w:rPr>
          <w:sz w:val="26"/>
          <w:szCs w:val="26"/>
        </w:rPr>
        <w:tab/>
        <w:t>Tyrone J. Christy, Vice Chairman</w:t>
      </w:r>
      <w:r w:rsidR="006B47F5">
        <w:rPr>
          <w:sz w:val="26"/>
          <w:szCs w:val="26"/>
        </w:rPr>
        <w:t>, Dissenting</w:t>
      </w:r>
    </w:p>
    <w:p w:rsidR="00F461A6" w:rsidRDefault="00F461A6" w:rsidP="00F461A6">
      <w:pPr>
        <w:rPr>
          <w:sz w:val="26"/>
          <w:szCs w:val="26"/>
        </w:rPr>
      </w:pPr>
      <w:r w:rsidRPr="00F461A6">
        <w:rPr>
          <w:sz w:val="26"/>
          <w:szCs w:val="26"/>
        </w:rPr>
        <w:tab/>
        <w:t>Wayne E. Gardner</w:t>
      </w:r>
      <w:r w:rsidR="006B47F5">
        <w:rPr>
          <w:sz w:val="26"/>
          <w:szCs w:val="26"/>
        </w:rPr>
        <w:t>, Statement</w:t>
      </w:r>
    </w:p>
    <w:p w:rsidR="00F97E2E" w:rsidRPr="00F461A6" w:rsidRDefault="00F97E2E" w:rsidP="00F461A6">
      <w:pPr>
        <w:rPr>
          <w:sz w:val="26"/>
          <w:szCs w:val="26"/>
        </w:rPr>
      </w:pPr>
      <w:r>
        <w:rPr>
          <w:sz w:val="26"/>
          <w:szCs w:val="26"/>
        </w:rPr>
        <w:tab/>
      </w:r>
      <w:r w:rsidRPr="00F461A6">
        <w:rPr>
          <w:sz w:val="26"/>
          <w:szCs w:val="26"/>
        </w:rPr>
        <w:t>Robert F. Powelson</w:t>
      </w:r>
    </w:p>
    <w:p w:rsidR="00F461A6" w:rsidRDefault="00F461A6" w:rsidP="00F461A6">
      <w:pPr>
        <w:rPr>
          <w:sz w:val="26"/>
          <w:szCs w:val="26"/>
        </w:rPr>
      </w:pPr>
    </w:p>
    <w:p w:rsidR="00325B18" w:rsidRDefault="00325B18" w:rsidP="00F461A6">
      <w:pPr>
        <w:rPr>
          <w:sz w:val="26"/>
          <w:szCs w:val="26"/>
        </w:rPr>
      </w:pPr>
    </w:p>
    <w:p w:rsidR="00E22BC7" w:rsidRDefault="00E22BC7"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Tr="00D26482">
        <w:tc>
          <w:tcPr>
            <w:tcW w:w="4788" w:type="dxa"/>
          </w:tcPr>
          <w:p w:rsidR="00E22BC7" w:rsidRDefault="00E22BC7" w:rsidP="00E22BC7">
            <w:pPr>
              <w:rPr>
                <w:sz w:val="26"/>
                <w:szCs w:val="26"/>
              </w:rPr>
            </w:pPr>
            <w:r>
              <w:rPr>
                <w:sz w:val="26"/>
                <w:szCs w:val="26"/>
              </w:rPr>
              <w:t xml:space="preserve">Joint Petition of Metropolitan Edison Company, Pennsylvania Electric Company and Pennsylvania Power Company for </w:t>
            </w:r>
            <w:r w:rsidR="00020830">
              <w:rPr>
                <w:sz w:val="26"/>
                <w:szCs w:val="26"/>
              </w:rPr>
              <w:t>Approval of Smart Meter Technology Procurement and Installation Plan</w:t>
            </w:r>
          </w:p>
        </w:tc>
        <w:tc>
          <w:tcPr>
            <w:tcW w:w="4788" w:type="dxa"/>
          </w:tcPr>
          <w:p w:rsidR="00E22BC7" w:rsidRDefault="00A82CAB" w:rsidP="00E255A4">
            <w:pPr>
              <w:jc w:val="right"/>
              <w:rPr>
                <w:sz w:val="26"/>
                <w:szCs w:val="26"/>
              </w:rPr>
            </w:pPr>
            <w:r>
              <w:rPr>
                <w:sz w:val="26"/>
                <w:szCs w:val="26"/>
              </w:rPr>
              <w:t>Docket</w:t>
            </w:r>
            <w:r w:rsidR="00020830">
              <w:rPr>
                <w:sz w:val="26"/>
                <w:szCs w:val="26"/>
              </w:rPr>
              <w:t xml:space="preserve"> No</w:t>
            </w:r>
            <w:r w:rsidR="00E22BC7">
              <w:rPr>
                <w:sz w:val="26"/>
                <w:szCs w:val="26"/>
              </w:rPr>
              <w:t>.</w:t>
            </w:r>
            <w:r w:rsidR="00020830">
              <w:rPr>
                <w:sz w:val="26"/>
                <w:szCs w:val="26"/>
              </w:rPr>
              <w:t xml:space="preserve"> M-2009-2123950</w:t>
            </w:r>
          </w:p>
          <w:p w:rsidR="00E22BC7" w:rsidRDefault="00E22BC7" w:rsidP="00F461A6">
            <w:pPr>
              <w:rPr>
                <w:sz w:val="26"/>
                <w:szCs w:val="26"/>
              </w:rPr>
            </w:pPr>
          </w:p>
        </w:tc>
      </w:tr>
    </w:tbl>
    <w:p w:rsidR="00E22BC7" w:rsidRDefault="00E22BC7" w:rsidP="00F461A6">
      <w:pPr>
        <w:rPr>
          <w:sz w:val="26"/>
          <w:szCs w:val="26"/>
        </w:rPr>
      </w:pPr>
    </w:p>
    <w:p w:rsidR="00E22BC7" w:rsidRDefault="00E22BC7" w:rsidP="00F461A6">
      <w:pPr>
        <w:rPr>
          <w:sz w:val="26"/>
          <w:szCs w:val="26"/>
        </w:rPr>
      </w:pPr>
    </w:p>
    <w:p w:rsidR="00F97E2E" w:rsidRDefault="00F97E2E">
      <w:pPr>
        <w:spacing w:after="200" w:line="276" w:lineRule="auto"/>
        <w:rPr>
          <w:b/>
          <w:sz w:val="26"/>
          <w:szCs w:val="26"/>
        </w:rPr>
        <w:sectPr w:rsidR="00F97E2E" w:rsidSect="005A69BD">
          <w:headerReference w:type="default" r:id="rId8"/>
          <w:footerReference w:type="default" r:id="rId9"/>
          <w:pgSz w:w="12240" w:h="15840"/>
          <w:pgMar w:top="1440" w:right="1440" w:bottom="1440" w:left="1440" w:header="720" w:footer="720" w:gutter="0"/>
          <w:cols w:space="720"/>
          <w:titlePg/>
          <w:docGrid w:linePitch="360"/>
        </w:sectPr>
      </w:pPr>
    </w:p>
    <w:p w:rsidR="00F461A6" w:rsidRDefault="00F461A6" w:rsidP="00F461A6">
      <w:pPr>
        <w:jc w:val="center"/>
        <w:rPr>
          <w:b/>
          <w:sz w:val="26"/>
          <w:szCs w:val="26"/>
        </w:rPr>
      </w:pPr>
      <w:r>
        <w:rPr>
          <w:b/>
          <w:sz w:val="26"/>
          <w:szCs w:val="26"/>
        </w:rPr>
        <w:lastRenderedPageBreak/>
        <w:t>TABLE OF CONTENTS</w:t>
      </w:r>
    </w:p>
    <w:p w:rsidR="003E693B" w:rsidRDefault="003E693B" w:rsidP="00F461A6">
      <w:pPr>
        <w:jc w:val="center"/>
        <w:rPr>
          <w:b/>
          <w:sz w:val="26"/>
          <w:szCs w:val="26"/>
        </w:rPr>
      </w:pPr>
    </w:p>
    <w:p w:rsidR="00D53854" w:rsidRDefault="005C5411">
      <w:pPr>
        <w:pStyle w:val="TOC1"/>
        <w:tabs>
          <w:tab w:val="left" w:pos="720"/>
          <w:tab w:val="right" w:leader="dot" w:pos="9350"/>
        </w:tabs>
        <w:rPr>
          <w:rFonts w:asciiTheme="minorHAnsi" w:eastAsiaTheme="minorEastAsia" w:hAnsiTheme="minorHAnsi" w:cstheme="minorBidi"/>
          <w:noProof/>
          <w:sz w:val="22"/>
          <w:szCs w:val="22"/>
        </w:rPr>
      </w:pPr>
      <w:r>
        <w:rPr>
          <w:b/>
          <w:sz w:val="26"/>
          <w:szCs w:val="26"/>
        </w:rPr>
        <w:fldChar w:fldCharType="begin"/>
      </w:r>
      <w:r w:rsidR="000626FD">
        <w:rPr>
          <w:b/>
          <w:sz w:val="26"/>
          <w:szCs w:val="26"/>
        </w:rPr>
        <w:instrText xml:space="preserve"> TOC \o "1-5" \h \z \u </w:instrText>
      </w:r>
      <w:r>
        <w:rPr>
          <w:b/>
          <w:sz w:val="26"/>
          <w:szCs w:val="26"/>
        </w:rPr>
        <w:fldChar w:fldCharType="separate"/>
      </w:r>
      <w:hyperlink w:anchor="_Toc263848824" w:history="1">
        <w:r w:rsidR="00D53854" w:rsidRPr="00AB1B86">
          <w:rPr>
            <w:rStyle w:val="Hyperlink"/>
            <w:noProof/>
          </w:rPr>
          <w:t xml:space="preserve">I.  </w:t>
        </w:r>
        <w:r w:rsidR="00D53854">
          <w:rPr>
            <w:rFonts w:asciiTheme="minorHAnsi" w:eastAsiaTheme="minorEastAsia" w:hAnsiTheme="minorHAnsi" w:cstheme="minorBidi"/>
            <w:noProof/>
            <w:sz w:val="22"/>
            <w:szCs w:val="22"/>
          </w:rPr>
          <w:tab/>
        </w:r>
        <w:r w:rsidR="00D53854" w:rsidRPr="00AB1B86">
          <w:rPr>
            <w:rStyle w:val="Hyperlink"/>
            <w:noProof/>
          </w:rPr>
          <w:t>Introduction</w:t>
        </w:r>
        <w:r w:rsidR="00D53854">
          <w:rPr>
            <w:noProof/>
            <w:webHidden/>
          </w:rPr>
          <w:tab/>
        </w:r>
        <w:r>
          <w:rPr>
            <w:noProof/>
            <w:webHidden/>
          </w:rPr>
          <w:fldChar w:fldCharType="begin"/>
        </w:r>
        <w:r w:rsidR="00D53854">
          <w:rPr>
            <w:noProof/>
            <w:webHidden/>
          </w:rPr>
          <w:instrText xml:space="preserve"> PAGEREF _Toc263848824 \h </w:instrText>
        </w:r>
        <w:r>
          <w:rPr>
            <w:noProof/>
            <w:webHidden/>
          </w:rPr>
        </w:r>
        <w:r>
          <w:rPr>
            <w:noProof/>
            <w:webHidden/>
          </w:rPr>
          <w:fldChar w:fldCharType="separate"/>
        </w:r>
        <w:r w:rsidR="001A2D70">
          <w:rPr>
            <w:noProof/>
            <w:webHidden/>
          </w:rPr>
          <w:t>1</w:t>
        </w:r>
        <w:r>
          <w:rPr>
            <w:noProof/>
            <w:webHidden/>
          </w:rPr>
          <w:fldChar w:fldCharType="end"/>
        </w:r>
      </w:hyperlink>
    </w:p>
    <w:p w:rsidR="00D53854" w:rsidRDefault="005C5411">
      <w:pPr>
        <w:pStyle w:val="TOC1"/>
        <w:tabs>
          <w:tab w:val="left" w:pos="720"/>
          <w:tab w:val="right" w:leader="dot" w:pos="9350"/>
        </w:tabs>
        <w:rPr>
          <w:rFonts w:asciiTheme="minorHAnsi" w:eastAsiaTheme="minorEastAsia" w:hAnsiTheme="minorHAnsi" w:cstheme="minorBidi"/>
          <w:noProof/>
          <w:sz w:val="22"/>
          <w:szCs w:val="22"/>
        </w:rPr>
      </w:pPr>
      <w:hyperlink w:anchor="_Toc263848825" w:history="1">
        <w:r w:rsidR="00D53854" w:rsidRPr="00AB1B86">
          <w:rPr>
            <w:rStyle w:val="Hyperlink"/>
            <w:noProof/>
          </w:rPr>
          <w:t xml:space="preserve">II.  </w:t>
        </w:r>
        <w:r w:rsidR="00D53854">
          <w:rPr>
            <w:rFonts w:asciiTheme="minorHAnsi" w:eastAsiaTheme="minorEastAsia" w:hAnsiTheme="minorHAnsi" w:cstheme="minorBidi"/>
            <w:noProof/>
            <w:sz w:val="22"/>
            <w:szCs w:val="22"/>
          </w:rPr>
          <w:tab/>
        </w:r>
        <w:r w:rsidR="00D53854" w:rsidRPr="00AB1B86">
          <w:rPr>
            <w:rStyle w:val="Hyperlink"/>
            <w:noProof/>
          </w:rPr>
          <w:t>Background</w:t>
        </w:r>
        <w:r w:rsidR="00D53854">
          <w:rPr>
            <w:noProof/>
            <w:webHidden/>
          </w:rPr>
          <w:tab/>
        </w:r>
        <w:r>
          <w:rPr>
            <w:noProof/>
            <w:webHidden/>
          </w:rPr>
          <w:fldChar w:fldCharType="begin"/>
        </w:r>
        <w:r w:rsidR="00D53854">
          <w:rPr>
            <w:noProof/>
            <w:webHidden/>
          </w:rPr>
          <w:instrText xml:space="preserve"> PAGEREF _Toc263848825 \h </w:instrText>
        </w:r>
        <w:r>
          <w:rPr>
            <w:noProof/>
            <w:webHidden/>
          </w:rPr>
        </w:r>
        <w:r>
          <w:rPr>
            <w:noProof/>
            <w:webHidden/>
          </w:rPr>
          <w:fldChar w:fldCharType="separate"/>
        </w:r>
        <w:r w:rsidR="001A2D70">
          <w:rPr>
            <w:noProof/>
            <w:webHidden/>
          </w:rPr>
          <w:t>2</w:t>
        </w:r>
        <w:r>
          <w:rPr>
            <w:noProof/>
            <w:webHidden/>
          </w:rPr>
          <w:fldChar w:fldCharType="end"/>
        </w:r>
      </w:hyperlink>
    </w:p>
    <w:p w:rsidR="00D53854" w:rsidRDefault="005C5411">
      <w:pPr>
        <w:pStyle w:val="TOC2"/>
        <w:rPr>
          <w:rFonts w:asciiTheme="minorHAnsi" w:eastAsiaTheme="minorEastAsia" w:hAnsiTheme="minorHAnsi" w:cstheme="minorBidi"/>
          <w:noProof/>
          <w:sz w:val="22"/>
          <w:szCs w:val="22"/>
        </w:rPr>
      </w:pPr>
      <w:hyperlink w:anchor="_Toc263848826"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Act 129</w:t>
        </w:r>
        <w:r w:rsidR="00D53854">
          <w:rPr>
            <w:noProof/>
            <w:webHidden/>
          </w:rPr>
          <w:tab/>
        </w:r>
        <w:r>
          <w:rPr>
            <w:noProof/>
            <w:webHidden/>
          </w:rPr>
          <w:fldChar w:fldCharType="begin"/>
        </w:r>
        <w:r w:rsidR="00D53854">
          <w:rPr>
            <w:noProof/>
            <w:webHidden/>
          </w:rPr>
          <w:instrText xml:space="preserve"> PAGEREF _Toc263848826 \h </w:instrText>
        </w:r>
        <w:r>
          <w:rPr>
            <w:noProof/>
            <w:webHidden/>
          </w:rPr>
        </w:r>
        <w:r>
          <w:rPr>
            <w:noProof/>
            <w:webHidden/>
          </w:rPr>
          <w:fldChar w:fldCharType="separate"/>
        </w:r>
        <w:r w:rsidR="001A2D70">
          <w:rPr>
            <w:noProof/>
            <w:webHidden/>
          </w:rPr>
          <w:t>2</w:t>
        </w:r>
        <w:r>
          <w:rPr>
            <w:noProof/>
            <w:webHidden/>
          </w:rPr>
          <w:fldChar w:fldCharType="end"/>
        </w:r>
      </w:hyperlink>
    </w:p>
    <w:p w:rsidR="00D53854" w:rsidRDefault="005C5411">
      <w:pPr>
        <w:pStyle w:val="TOC2"/>
        <w:rPr>
          <w:rFonts w:asciiTheme="minorHAnsi" w:eastAsiaTheme="minorEastAsia" w:hAnsiTheme="minorHAnsi" w:cstheme="minorBidi"/>
          <w:noProof/>
          <w:sz w:val="22"/>
          <w:szCs w:val="22"/>
        </w:rPr>
      </w:pPr>
      <w:hyperlink w:anchor="_Toc263848827"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The Companies</w:t>
        </w:r>
        <w:r w:rsidR="00D53854">
          <w:rPr>
            <w:noProof/>
            <w:webHidden/>
          </w:rPr>
          <w:tab/>
        </w:r>
        <w:r>
          <w:rPr>
            <w:noProof/>
            <w:webHidden/>
          </w:rPr>
          <w:fldChar w:fldCharType="begin"/>
        </w:r>
        <w:r w:rsidR="00D53854">
          <w:rPr>
            <w:noProof/>
            <w:webHidden/>
          </w:rPr>
          <w:instrText xml:space="preserve"> PAGEREF _Toc263848827 \h </w:instrText>
        </w:r>
        <w:r>
          <w:rPr>
            <w:noProof/>
            <w:webHidden/>
          </w:rPr>
        </w:r>
        <w:r>
          <w:rPr>
            <w:noProof/>
            <w:webHidden/>
          </w:rPr>
          <w:fldChar w:fldCharType="separate"/>
        </w:r>
        <w:r w:rsidR="001A2D70">
          <w:rPr>
            <w:noProof/>
            <w:webHidden/>
          </w:rPr>
          <w:t>3</w:t>
        </w:r>
        <w:r>
          <w:rPr>
            <w:noProof/>
            <w:webHidden/>
          </w:rPr>
          <w:fldChar w:fldCharType="end"/>
        </w:r>
      </w:hyperlink>
    </w:p>
    <w:p w:rsidR="00D53854" w:rsidRDefault="005C5411">
      <w:pPr>
        <w:pStyle w:val="TOC1"/>
        <w:tabs>
          <w:tab w:val="left" w:pos="720"/>
          <w:tab w:val="right" w:leader="dot" w:pos="9350"/>
        </w:tabs>
        <w:rPr>
          <w:rFonts w:asciiTheme="minorHAnsi" w:eastAsiaTheme="minorEastAsia" w:hAnsiTheme="minorHAnsi" w:cstheme="minorBidi"/>
          <w:noProof/>
          <w:sz w:val="22"/>
          <w:szCs w:val="22"/>
        </w:rPr>
      </w:pPr>
      <w:hyperlink w:anchor="_Toc263848828" w:history="1">
        <w:r w:rsidR="00D53854" w:rsidRPr="00AB1B86">
          <w:rPr>
            <w:rStyle w:val="Hyperlink"/>
            <w:noProof/>
          </w:rPr>
          <w:t xml:space="preserve">III.  </w:t>
        </w:r>
        <w:r w:rsidR="00D53854">
          <w:rPr>
            <w:rFonts w:asciiTheme="minorHAnsi" w:eastAsiaTheme="minorEastAsia" w:hAnsiTheme="minorHAnsi" w:cstheme="minorBidi"/>
            <w:noProof/>
            <w:sz w:val="22"/>
            <w:szCs w:val="22"/>
          </w:rPr>
          <w:tab/>
        </w:r>
        <w:r w:rsidR="00D53854" w:rsidRPr="00AB1B86">
          <w:rPr>
            <w:rStyle w:val="Hyperlink"/>
            <w:noProof/>
          </w:rPr>
          <w:t>Procedural History</w:t>
        </w:r>
        <w:r w:rsidR="00D53854">
          <w:rPr>
            <w:noProof/>
            <w:webHidden/>
          </w:rPr>
          <w:tab/>
        </w:r>
        <w:r>
          <w:rPr>
            <w:noProof/>
            <w:webHidden/>
          </w:rPr>
          <w:fldChar w:fldCharType="begin"/>
        </w:r>
        <w:r w:rsidR="00D53854">
          <w:rPr>
            <w:noProof/>
            <w:webHidden/>
          </w:rPr>
          <w:instrText xml:space="preserve"> PAGEREF _Toc263848828 \h </w:instrText>
        </w:r>
        <w:r>
          <w:rPr>
            <w:noProof/>
            <w:webHidden/>
          </w:rPr>
        </w:r>
        <w:r>
          <w:rPr>
            <w:noProof/>
            <w:webHidden/>
          </w:rPr>
          <w:fldChar w:fldCharType="separate"/>
        </w:r>
        <w:r w:rsidR="001A2D70">
          <w:rPr>
            <w:noProof/>
            <w:webHidden/>
          </w:rPr>
          <w:t>4</w:t>
        </w:r>
        <w:r>
          <w:rPr>
            <w:noProof/>
            <w:webHidden/>
          </w:rPr>
          <w:fldChar w:fldCharType="end"/>
        </w:r>
      </w:hyperlink>
    </w:p>
    <w:p w:rsidR="00D53854" w:rsidRDefault="005C5411">
      <w:pPr>
        <w:pStyle w:val="TOC1"/>
        <w:tabs>
          <w:tab w:val="left" w:pos="720"/>
          <w:tab w:val="right" w:leader="dot" w:pos="9350"/>
        </w:tabs>
        <w:rPr>
          <w:rFonts w:asciiTheme="minorHAnsi" w:eastAsiaTheme="minorEastAsia" w:hAnsiTheme="minorHAnsi" w:cstheme="minorBidi"/>
          <w:noProof/>
          <w:sz w:val="22"/>
          <w:szCs w:val="22"/>
        </w:rPr>
      </w:pPr>
      <w:hyperlink w:anchor="_Toc263848829" w:history="1">
        <w:r w:rsidR="00D53854" w:rsidRPr="00AB1B86">
          <w:rPr>
            <w:rStyle w:val="Hyperlink"/>
            <w:noProof/>
          </w:rPr>
          <w:t xml:space="preserve">IV.  </w:t>
        </w:r>
        <w:r w:rsidR="00D53854">
          <w:rPr>
            <w:rFonts w:asciiTheme="minorHAnsi" w:eastAsiaTheme="minorEastAsia" w:hAnsiTheme="minorHAnsi" w:cstheme="minorBidi"/>
            <w:noProof/>
            <w:sz w:val="22"/>
            <w:szCs w:val="22"/>
          </w:rPr>
          <w:tab/>
        </w:r>
        <w:r w:rsidR="00D53854" w:rsidRPr="00AB1B86">
          <w:rPr>
            <w:rStyle w:val="Hyperlink"/>
            <w:noProof/>
          </w:rPr>
          <w:t>Description of the Plan</w:t>
        </w:r>
        <w:r w:rsidR="00D53854">
          <w:rPr>
            <w:noProof/>
            <w:webHidden/>
          </w:rPr>
          <w:tab/>
        </w:r>
        <w:r>
          <w:rPr>
            <w:noProof/>
            <w:webHidden/>
          </w:rPr>
          <w:fldChar w:fldCharType="begin"/>
        </w:r>
        <w:r w:rsidR="00D53854">
          <w:rPr>
            <w:noProof/>
            <w:webHidden/>
          </w:rPr>
          <w:instrText xml:space="preserve"> PAGEREF _Toc263848829 \h </w:instrText>
        </w:r>
        <w:r>
          <w:rPr>
            <w:noProof/>
            <w:webHidden/>
          </w:rPr>
        </w:r>
        <w:r>
          <w:rPr>
            <w:noProof/>
            <w:webHidden/>
          </w:rPr>
          <w:fldChar w:fldCharType="separate"/>
        </w:r>
        <w:r w:rsidR="001A2D70">
          <w:rPr>
            <w:noProof/>
            <w:webHidden/>
          </w:rPr>
          <w:t>5</w:t>
        </w:r>
        <w:r>
          <w:rPr>
            <w:noProof/>
            <w:webHidden/>
          </w:rPr>
          <w:fldChar w:fldCharType="end"/>
        </w:r>
      </w:hyperlink>
    </w:p>
    <w:p w:rsidR="00D53854" w:rsidRDefault="005C5411">
      <w:pPr>
        <w:pStyle w:val="TOC2"/>
        <w:rPr>
          <w:rFonts w:asciiTheme="minorHAnsi" w:eastAsiaTheme="minorEastAsia" w:hAnsiTheme="minorHAnsi" w:cstheme="minorBidi"/>
          <w:noProof/>
          <w:sz w:val="22"/>
          <w:szCs w:val="22"/>
        </w:rPr>
      </w:pPr>
      <w:hyperlink w:anchor="_Toc263848830"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Current Status of Smart Meter Deployment</w:t>
        </w:r>
        <w:r w:rsidR="00D53854">
          <w:rPr>
            <w:noProof/>
            <w:webHidden/>
          </w:rPr>
          <w:tab/>
        </w:r>
        <w:r>
          <w:rPr>
            <w:noProof/>
            <w:webHidden/>
          </w:rPr>
          <w:fldChar w:fldCharType="begin"/>
        </w:r>
        <w:r w:rsidR="00D53854">
          <w:rPr>
            <w:noProof/>
            <w:webHidden/>
          </w:rPr>
          <w:instrText xml:space="preserve"> PAGEREF _Toc263848830 \h </w:instrText>
        </w:r>
        <w:r>
          <w:rPr>
            <w:noProof/>
            <w:webHidden/>
          </w:rPr>
        </w:r>
        <w:r>
          <w:rPr>
            <w:noProof/>
            <w:webHidden/>
          </w:rPr>
          <w:fldChar w:fldCharType="separate"/>
        </w:r>
        <w:r w:rsidR="001A2D70">
          <w:rPr>
            <w:noProof/>
            <w:webHidden/>
          </w:rPr>
          <w:t>5</w:t>
        </w:r>
        <w:r>
          <w:rPr>
            <w:noProof/>
            <w:webHidden/>
          </w:rPr>
          <w:fldChar w:fldCharType="end"/>
        </w:r>
      </w:hyperlink>
    </w:p>
    <w:p w:rsidR="00D53854" w:rsidRDefault="005C5411">
      <w:pPr>
        <w:pStyle w:val="TOC2"/>
        <w:rPr>
          <w:rFonts w:asciiTheme="minorHAnsi" w:eastAsiaTheme="minorEastAsia" w:hAnsiTheme="minorHAnsi" w:cstheme="minorBidi"/>
          <w:noProof/>
          <w:sz w:val="22"/>
          <w:szCs w:val="22"/>
        </w:rPr>
      </w:pPr>
      <w:hyperlink w:anchor="_Toc263848831"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Plan for Smart Meter Deployment</w:t>
        </w:r>
        <w:r w:rsidR="00D53854">
          <w:rPr>
            <w:noProof/>
            <w:webHidden/>
          </w:rPr>
          <w:tab/>
        </w:r>
        <w:r>
          <w:rPr>
            <w:noProof/>
            <w:webHidden/>
          </w:rPr>
          <w:fldChar w:fldCharType="begin"/>
        </w:r>
        <w:r w:rsidR="00D53854">
          <w:rPr>
            <w:noProof/>
            <w:webHidden/>
          </w:rPr>
          <w:instrText xml:space="preserve"> PAGEREF _Toc263848831 \h </w:instrText>
        </w:r>
        <w:r>
          <w:rPr>
            <w:noProof/>
            <w:webHidden/>
          </w:rPr>
        </w:r>
        <w:r>
          <w:rPr>
            <w:noProof/>
            <w:webHidden/>
          </w:rPr>
          <w:fldChar w:fldCharType="separate"/>
        </w:r>
        <w:r w:rsidR="001A2D70">
          <w:rPr>
            <w:noProof/>
            <w:webHidden/>
          </w:rPr>
          <w:t>5</w:t>
        </w:r>
        <w:r>
          <w:rPr>
            <w:noProof/>
            <w:webHidden/>
          </w:rPr>
          <w:fldChar w:fldCharType="end"/>
        </w:r>
      </w:hyperlink>
    </w:p>
    <w:p w:rsidR="00D53854" w:rsidRDefault="005C5411">
      <w:pPr>
        <w:pStyle w:val="TOC2"/>
        <w:rPr>
          <w:rFonts w:asciiTheme="minorHAnsi" w:eastAsiaTheme="minorEastAsia" w:hAnsiTheme="minorHAnsi" w:cstheme="minorBidi"/>
          <w:noProof/>
          <w:sz w:val="22"/>
          <w:szCs w:val="22"/>
        </w:rPr>
      </w:pPr>
      <w:hyperlink w:anchor="_Toc263848832"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Cost Recovery</w:t>
        </w:r>
        <w:r w:rsidR="00D53854">
          <w:rPr>
            <w:noProof/>
            <w:webHidden/>
          </w:rPr>
          <w:tab/>
        </w:r>
        <w:r>
          <w:rPr>
            <w:noProof/>
            <w:webHidden/>
          </w:rPr>
          <w:fldChar w:fldCharType="begin"/>
        </w:r>
        <w:r w:rsidR="00D53854">
          <w:rPr>
            <w:noProof/>
            <w:webHidden/>
          </w:rPr>
          <w:instrText xml:space="preserve"> PAGEREF _Toc263848832 \h </w:instrText>
        </w:r>
        <w:r>
          <w:rPr>
            <w:noProof/>
            <w:webHidden/>
          </w:rPr>
        </w:r>
        <w:r>
          <w:rPr>
            <w:noProof/>
            <w:webHidden/>
          </w:rPr>
          <w:fldChar w:fldCharType="separate"/>
        </w:r>
        <w:r w:rsidR="001A2D70">
          <w:rPr>
            <w:noProof/>
            <w:webHidden/>
          </w:rPr>
          <w:t>6</w:t>
        </w:r>
        <w:r>
          <w:rPr>
            <w:noProof/>
            <w:webHidden/>
          </w:rPr>
          <w:fldChar w:fldCharType="end"/>
        </w:r>
      </w:hyperlink>
    </w:p>
    <w:p w:rsidR="00D53854" w:rsidRDefault="005C5411">
      <w:pPr>
        <w:pStyle w:val="TOC1"/>
        <w:tabs>
          <w:tab w:val="left" w:pos="720"/>
          <w:tab w:val="right" w:leader="dot" w:pos="9350"/>
        </w:tabs>
        <w:rPr>
          <w:rFonts w:asciiTheme="minorHAnsi" w:eastAsiaTheme="minorEastAsia" w:hAnsiTheme="minorHAnsi" w:cstheme="minorBidi"/>
          <w:noProof/>
          <w:sz w:val="22"/>
          <w:szCs w:val="22"/>
        </w:rPr>
      </w:pPr>
      <w:hyperlink w:anchor="_Toc263848833" w:history="1">
        <w:r w:rsidR="00D53854" w:rsidRPr="00AB1B86">
          <w:rPr>
            <w:rStyle w:val="Hyperlink"/>
            <w:noProof/>
          </w:rPr>
          <w:t xml:space="preserve">V.  </w:t>
        </w:r>
        <w:r w:rsidR="00D53854">
          <w:rPr>
            <w:rFonts w:asciiTheme="minorHAnsi" w:eastAsiaTheme="minorEastAsia" w:hAnsiTheme="minorHAnsi" w:cstheme="minorBidi"/>
            <w:noProof/>
            <w:sz w:val="22"/>
            <w:szCs w:val="22"/>
          </w:rPr>
          <w:tab/>
        </w:r>
        <w:r w:rsidR="00D53854" w:rsidRPr="00AB1B86">
          <w:rPr>
            <w:rStyle w:val="Hyperlink"/>
            <w:noProof/>
          </w:rPr>
          <w:t>Discussion</w:t>
        </w:r>
        <w:r w:rsidR="00D53854">
          <w:rPr>
            <w:noProof/>
            <w:webHidden/>
          </w:rPr>
          <w:tab/>
        </w:r>
        <w:r>
          <w:rPr>
            <w:noProof/>
            <w:webHidden/>
          </w:rPr>
          <w:fldChar w:fldCharType="begin"/>
        </w:r>
        <w:r w:rsidR="00D53854">
          <w:rPr>
            <w:noProof/>
            <w:webHidden/>
          </w:rPr>
          <w:instrText xml:space="preserve"> PAGEREF _Toc263848833 \h </w:instrText>
        </w:r>
        <w:r>
          <w:rPr>
            <w:noProof/>
            <w:webHidden/>
          </w:rPr>
        </w:r>
        <w:r>
          <w:rPr>
            <w:noProof/>
            <w:webHidden/>
          </w:rPr>
          <w:fldChar w:fldCharType="separate"/>
        </w:r>
        <w:r w:rsidR="001A2D70">
          <w:rPr>
            <w:noProof/>
            <w:webHidden/>
          </w:rPr>
          <w:t>9</w:t>
        </w:r>
        <w:r>
          <w:rPr>
            <w:noProof/>
            <w:webHidden/>
          </w:rPr>
          <w:fldChar w:fldCharType="end"/>
        </w:r>
      </w:hyperlink>
    </w:p>
    <w:p w:rsidR="00D53854" w:rsidRDefault="005C5411">
      <w:pPr>
        <w:pStyle w:val="TOC2"/>
        <w:rPr>
          <w:rFonts w:asciiTheme="minorHAnsi" w:eastAsiaTheme="minorEastAsia" w:hAnsiTheme="minorHAnsi" w:cstheme="minorBidi"/>
          <w:noProof/>
          <w:sz w:val="22"/>
          <w:szCs w:val="22"/>
        </w:rPr>
      </w:pPr>
      <w:hyperlink w:anchor="_Toc263848834"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Non-Cost Issues</w:t>
        </w:r>
        <w:r w:rsidR="00D53854">
          <w:rPr>
            <w:noProof/>
            <w:webHidden/>
          </w:rPr>
          <w:tab/>
        </w:r>
        <w:r>
          <w:rPr>
            <w:noProof/>
            <w:webHidden/>
          </w:rPr>
          <w:fldChar w:fldCharType="begin"/>
        </w:r>
        <w:r w:rsidR="00D53854">
          <w:rPr>
            <w:noProof/>
            <w:webHidden/>
          </w:rPr>
          <w:instrText xml:space="preserve"> PAGEREF _Toc263848834 \h </w:instrText>
        </w:r>
        <w:r>
          <w:rPr>
            <w:noProof/>
            <w:webHidden/>
          </w:rPr>
        </w:r>
        <w:r>
          <w:rPr>
            <w:noProof/>
            <w:webHidden/>
          </w:rPr>
          <w:fldChar w:fldCharType="separate"/>
        </w:r>
        <w:r w:rsidR="001A2D70">
          <w:rPr>
            <w:noProof/>
            <w:webHidden/>
          </w:rPr>
          <w:t>9</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35" w:history="1">
        <w:r w:rsidR="00D53854" w:rsidRPr="00AB1B86">
          <w:rPr>
            <w:rStyle w:val="Hyperlink"/>
            <w:noProof/>
          </w:rPr>
          <w:t>1.</w:t>
        </w:r>
        <w:r w:rsidR="00D53854">
          <w:rPr>
            <w:rFonts w:asciiTheme="minorHAnsi" w:eastAsiaTheme="minorEastAsia" w:hAnsiTheme="minorHAnsi" w:cstheme="minorBidi"/>
            <w:noProof/>
            <w:sz w:val="22"/>
            <w:szCs w:val="22"/>
          </w:rPr>
          <w:tab/>
        </w:r>
        <w:r w:rsidR="00D53854" w:rsidRPr="00AB1B86">
          <w:rPr>
            <w:rStyle w:val="Hyperlink"/>
            <w:noProof/>
          </w:rPr>
          <w:t>Deployment Process and Timeframe</w:t>
        </w:r>
        <w:r w:rsidR="00D53854">
          <w:rPr>
            <w:noProof/>
            <w:webHidden/>
          </w:rPr>
          <w:tab/>
        </w:r>
        <w:r>
          <w:rPr>
            <w:noProof/>
            <w:webHidden/>
          </w:rPr>
          <w:fldChar w:fldCharType="begin"/>
        </w:r>
        <w:r w:rsidR="00D53854">
          <w:rPr>
            <w:noProof/>
            <w:webHidden/>
          </w:rPr>
          <w:instrText xml:space="preserve"> PAGEREF _Toc263848835 \h </w:instrText>
        </w:r>
        <w:r>
          <w:rPr>
            <w:noProof/>
            <w:webHidden/>
          </w:rPr>
        </w:r>
        <w:r>
          <w:rPr>
            <w:noProof/>
            <w:webHidden/>
          </w:rPr>
          <w:fldChar w:fldCharType="separate"/>
        </w:r>
        <w:r w:rsidR="001A2D70">
          <w:rPr>
            <w:noProof/>
            <w:webHidden/>
          </w:rPr>
          <w:t>9</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36"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_Toc263848836 \h </w:instrText>
        </w:r>
        <w:r>
          <w:rPr>
            <w:noProof/>
            <w:webHidden/>
          </w:rPr>
        </w:r>
        <w:r>
          <w:rPr>
            <w:noProof/>
            <w:webHidden/>
          </w:rPr>
          <w:fldChar w:fldCharType="separate"/>
        </w:r>
        <w:r w:rsidR="001A2D70">
          <w:rPr>
            <w:noProof/>
            <w:webHidden/>
          </w:rPr>
          <w:t>9</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37"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_Toc263848837 \h </w:instrText>
        </w:r>
        <w:r>
          <w:rPr>
            <w:noProof/>
            <w:webHidden/>
          </w:rPr>
        </w:r>
        <w:r>
          <w:rPr>
            <w:noProof/>
            <w:webHidden/>
          </w:rPr>
          <w:fldChar w:fldCharType="separate"/>
        </w:r>
        <w:r w:rsidR="001A2D70">
          <w:rPr>
            <w:noProof/>
            <w:webHidden/>
          </w:rPr>
          <w:t>10</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38"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_Toc263848838 \h </w:instrText>
        </w:r>
        <w:r>
          <w:rPr>
            <w:noProof/>
            <w:webHidden/>
          </w:rPr>
        </w:r>
        <w:r>
          <w:rPr>
            <w:noProof/>
            <w:webHidden/>
          </w:rPr>
          <w:fldChar w:fldCharType="separate"/>
        </w:r>
        <w:r w:rsidR="001A2D70">
          <w:rPr>
            <w:noProof/>
            <w:webHidden/>
          </w:rPr>
          <w:t>11</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39" w:history="1">
        <w:r w:rsidR="00D53854" w:rsidRPr="00AB1B86">
          <w:rPr>
            <w:rStyle w:val="Hyperlink"/>
            <w:noProof/>
          </w:rPr>
          <w:t>d.</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_Toc263848839 \h </w:instrText>
        </w:r>
        <w:r>
          <w:rPr>
            <w:noProof/>
            <w:webHidden/>
          </w:rPr>
        </w:r>
        <w:r>
          <w:rPr>
            <w:noProof/>
            <w:webHidden/>
          </w:rPr>
          <w:fldChar w:fldCharType="separate"/>
        </w:r>
        <w:r w:rsidR="001A2D70">
          <w:rPr>
            <w:noProof/>
            <w:webHidden/>
          </w:rPr>
          <w:t>12</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40" w:history="1">
        <w:r w:rsidR="00D53854" w:rsidRPr="00AB1B86">
          <w:rPr>
            <w:rStyle w:val="Hyperlink"/>
            <w:noProof/>
          </w:rPr>
          <w:t>2.</w:t>
        </w:r>
        <w:r w:rsidR="00D53854">
          <w:rPr>
            <w:rFonts w:asciiTheme="minorHAnsi" w:eastAsiaTheme="minorEastAsia" w:hAnsiTheme="minorHAnsi" w:cstheme="minorBidi"/>
            <w:noProof/>
            <w:sz w:val="22"/>
            <w:szCs w:val="22"/>
          </w:rPr>
          <w:tab/>
        </w:r>
        <w:r w:rsidR="00D53854" w:rsidRPr="00AB1B86">
          <w:rPr>
            <w:rStyle w:val="Hyperlink"/>
            <w:noProof/>
          </w:rPr>
          <w:t>Smart Meter Technology</w:t>
        </w:r>
        <w:r w:rsidR="00D53854">
          <w:rPr>
            <w:noProof/>
            <w:webHidden/>
          </w:rPr>
          <w:tab/>
        </w:r>
        <w:r>
          <w:rPr>
            <w:noProof/>
            <w:webHidden/>
          </w:rPr>
          <w:fldChar w:fldCharType="begin"/>
        </w:r>
        <w:r w:rsidR="00D53854">
          <w:rPr>
            <w:noProof/>
            <w:webHidden/>
          </w:rPr>
          <w:instrText xml:space="preserve"> PAGEREF _Toc263848840 \h </w:instrText>
        </w:r>
        <w:r>
          <w:rPr>
            <w:noProof/>
            <w:webHidden/>
          </w:rPr>
        </w:r>
        <w:r>
          <w:rPr>
            <w:noProof/>
            <w:webHidden/>
          </w:rPr>
          <w:fldChar w:fldCharType="separate"/>
        </w:r>
        <w:r w:rsidR="001A2D70">
          <w:rPr>
            <w:noProof/>
            <w:webHidden/>
          </w:rPr>
          <w:t>14</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41"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_Toc263848841 \h </w:instrText>
        </w:r>
        <w:r>
          <w:rPr>
            <w:noProof/>
            <w:webHidden/>
          </w:rPr>
        </w:r>
        <w:r>
          <w:rPr>
            <w:noProof/>
            <w:webHidden/>
          </w:rPr>
          <w:fldChar w:fldCharType="separate"/>
        </w:r>
        <w:r w:rsidR="001A2D70">
          <w:rPr>
            <w:noProof/>
            <w:webHidden/>
          </w:rPr>
          <w:t>14</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42"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_Toc263848842 \h </w:instrText>
        </w:r>
        <w:r>
          <w:rPr>
            <w:noProof/>
            <w:webHidden/>
          </w:rPr>
        </w:r>
        <w:r>
          <w:rPr>
            <w:noProof/>
            <w:webHidden/>
          </w:rPr>
          <w:fldChar w:fldCharType="separate"/>
        </w:r>
        <w:r w:rsidR="001A2D70">
          <w:rPr>
            <w:noProof/>
            <w:webHidden/>
          </w:rPr>
          <w:t>15</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43"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_Toc263848843 \h </w:instrText>
        </w:r>
        <w:r>
          <w:rPr>
            <w:noProof/>
            <w:webHidden/>
          </w:rPr>
        </w:r>
        <w:r>
          <w:rPr>
            <w:noProof/>
            <w:webHidden/>
          </w:rPr>
          <w:fldChar w:fldCharType="separate"/>
        </w:r>
        <w:r w:rsidR="001A2D70">
          <w:rPr>
            <w:noProof/>
            <w:webHidden/>
          </w:rPr>
          <w:t>15</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44" w:history="1">
        <w:r w:rsidR="00D53854" w:rsidRPr="00AB1B86">
          <w:rPr>
            <w:rStyle w:val="Hyperlink"/>
            <w:noProof/>
          </w:rPr>
          <w:t>d.</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_Toc263848844 \h </w:instrText>
        </w:r>
        <w:r>
          <w:rPr>
            <w:noProof/>
            <w:webHidden/>
          </w:rPr>
        </w:r>
        <w:r>
          <w:rPr>
            <w:noProof/>
            <w:webHidden/>
          </w:rPr>
          <w:fldChar w:fldCharType="separate"/>
        </w:r>
        <w:r w:rsidR="001A2D70">
          <w:rPr>
            <w:noProof/>
            <w:webHidden/>
          </w:rPr>
          <w:t>16</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45" w:history="1">
        <w:r w:rsidR="00D53854" w:rsidRPr="00AB1B86">
          <w:rPr>
            <w:rStyle w:val="Hyperlink"/>
            <w:noProof/>
          </w:rPr>
          <w:t>3.</w:t>
        </w:r>
        <w:r w:rsidR="00D53854">
          <w:rPr>
            <w:rFonts w:asciiTheme="minorHAnsi" w:eastAsiaTheme="minorEastAsia" w:hAnsiTheme="minorHAnsi" w:cstheme="minorBidi"/>
            <w:noProof/>
            <w:sz w:val="22"/>
            <w:szCs w:val="22"/>
          </w:rPr>
          <w:tab/>
        </w:r>
        <w:r w:rsidR="00D53854" w:rsidRPr="00AB1B86">
          <w:rPr>
            <w:rStyle w:val="Hyperlink"/>
            <w:noProof/>
          </w:rPr>
          <w:t>Impact on “Vulnerable” Customers</w:t>
        </w:r>
        <w:r w:rsidR="00D53854">
          <w:rPr>
            <w:noProof/>
            <w:webHidden/>
          </w:rPr>
          <w:tab/>
        </w:r>
        <w:r>
          <w:rPr>
            <w:noProof/>
            <w:webHidden/>
          </w:rPr>
          <w:fldChar w:fldCharType="begin"/>
        </w:r>
        <w:r w:rsidR="00D53854">
          <w:rPr>
            <w:noProof/>
            <w:webHidden/>
          </w:rPr>
          <w:instrText xml:space="preserve"> PAGEREF _Toc263848845 \h </w:instrText>
        </w:r>
        <w:r>
          <w:rPr>
            <w:noProof/>
            <w:webHidden/>
          </w:rPr>
        </w:r>
        <w:r>
          <w:rPr>
            <w:noProof/>
            <w:webHidden/>
          </w:rPr>
          <w:fldChar w:fldCharType="separate"/>
        </w:r>
        <w:r w:rsidR="001A2D70">
          <w:rPr>
            <w:noProof/>
            <w:webHidden/>
          </w:rPr>
          <w:t>17</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46"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_Toc263848846 \h </w:instrText>
        </w:r>
        <w:r>
          <w:rPr>
            <w:noProof/>
            <w:webHidden/>
          </w:rPr>
        </w:r>
        <w:r>
          <w:rPr>
            <w:noProof/>
            <w:webHidden/>
          </w:rPr>
          <w:fldChar w:fldCharType="separate"/>
        </w:r>
        <w:r w:rsidR="001A2D70">
          <w:rPr>
            <w:noProof/>
            <w:webHidden/>
          </w:rPr>
          <w:t>17</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47"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_Toc263848847 \h </w:instrText>
        </w:r>
        <w:r>
          <w:rPr>
            <w:noProof/>
            <w:webHidden/>
          </w:rPr>
        </w:r>
        <w:r>
          <w:rPr>
            <w:noProof/>
            <w:webHidden/>
          </w:rPr>
          <w:fldChar w:fldCharType="separate"/>
        </w:r>
        <w:r w:rsidR="001A2D70">
          <w:rPr>
            <w:noProof/>
            <w:webHidden/>
          </w:rPr>
          <w:t>17</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48"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_Toc263848848 \h </w:instrText>
        </w:r>
        <w:r>
          <w:rPr>
            <w:noProof/>
            <w:webHidden/>
          </w:rPr>
        </w:r>
        <w:r>
          <w:rPr>
            <w:noProof/>
            <w:webHidden/>
          </w:rPr>
          <w:fldChar w:fldCharType="separate"/>
        </w:r>
        <w:r w:rsidR="001A2D70">
          <w:rPr>
            <w:noProof/>
            <w:webHidden/>
          </w:rPr>
          <w:t>18</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49" w:history="1">
        <w:r w:rsidR="00D53854" w:rsidRPr="00AB1B86">
          <w:rPr>
            <w:rStyle w:val="Hyperlink"/>
            <w:noProof/>
          </w:rPr>
          <w:t>d.</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_Toc263848849 \h </w:instrText>
        </w:r>
        <w:r>
          <w:rPr>
            <w:noProof/>
            <w:webHidden/>
          </w:rPr>
        </w:r>
        <w:r>
          <w:rPr>
            <w:noProof/>
            <w:webHidden/>
          </w:rPr>
          <w:fldChar w:fldCharType="separate"/>
        </w:r>
        <w:r w:rsidR="001A2D70">
          <w:rPr>
            <w:noProof/>
            <w:webHidden/>
          </w:rPr>
          <w:t>19</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50" w:history="1">
        <w:r w:rsidR="00D53854" w:rsidRPr="00AB1B86">
          <w:rPr>
            <w:rStyle w:val="Hyperlink"/>
            <w:noProof/>
          </w:rPr>
          <w:t>4.</w:t>
        </w:r>
        <w:r w:rsidR="00D53854">
          <w:rPr>
            <w:rFonts w:asciiTheme="minorHAnsi" w:eastAsiaTheme="minorEastAsia" w:hAnsiTheme="minorHAnsi" w:cstheme="minorBidi"/>
            <w:noProof/>
            <w:sz w:val="22"/>
            <w:szCs w:val="22"/>
          </w:rPr>
          <w:tab/>
        </w:r>
        <w:r w:rsidR="00D53854" w:rsidRPr="00AB1B86">
          <w:rPr>
            <w:rStyle w:val="Hyperlink"/>
            <w:noProof/>
          </w:rPr>
          <w:t>Sub-Hourly Metering</w:t>
        </w:r>
        <w:r w:rsidR="00D53854">
          <w:rPr>
            <w:noProof/>
            <w:webHidden/>
          </w:rPr>
          <w:tab/>
        </w:r>
        <w:r>
          <w:rPr>
            <w:noProof/>
            <w:webHidden/>
          </w:rPr>
          <w:fldChar w:fldCharType="begin"/>
        </w:r>
        <w:r w:rsidR="00D53854">
          <w:rPr>
            <w:noProof/>
            <w:webHidden/>
          </w:rPr>
          <w:instrText xml:space="preserve"> PAGEREF _Toc263848850 \h </w:instrText>
        </w:r>
        <w:r>
          <w:rPr>
            <w:noProof/>
            <w:webHidden/>
          </w:rPr>
        </w:r>
        <w:r>
          <w:rPr>
            <w:noProof/>
            <w:webHidden/>
          </w:rPr>
          <w:fldChar w:fldCharType="separate"/>
        </w:r>
        <w:r w:rsidR="001A2D70">
          <w:rPr>
            <w:noProof/>
            <w:webHidden/>
          </w:rPr>
          <w:t>19</w:t>
        </w:r>
        <w:r>
          <w:rPr>
            <w:noProof/>
            <w:webHidden/>
          </w:rPr>
          <w:fldChar w:fldCharType="end"/>
        </w:r>
      </w:hyperlink>
    </w:p>
    <w:p w:rsidR="00D53854" w:rsidRDefault="005C5411">
      <w:pPr>
        <w:pStyle w:val="TOC2"/>
        <w:rPr>
          <w:rFonts w:asciiTheme="minorHAnsi" w:eastAsiaTheme="minorEastAsia" w:hAnsiTheme="minorHAnsi" w:cstheme="minorBidi"/>
          <w:noProof/>
          <w:sz w:val="22"/>
          <w:szCs w:val="22"/>
        </w:rPr>
      </w:pPr>
      <w:hyperlink w:anchor="_Toc263848851"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Cost Issues</w:t>
        </w:r>
        <w:r w:rsidR="00D53854">
          <w:rPr>
            <w:noProof/>
            <w:webHidden/>
          </w:rPr>
          <w:tab/>
        </w:r>
        <w:r>
          <w:rPr>
            <w:noProof/>
            <w:webHidden/>
          </w:rPr>
          <w:fldChar w:fldCharType="begin"/>
        </w:r>
        <w:r w:rsidR="00D53854">
          <w:rPr>
            <w:noProof/>
            <w:webHidden/>
          </w:rPr>
          <w:instrText xml:space="preserve"> PAGEREF _Toc263848851 \h </w:instrText>
        </w:r>
        <w:r>
          <w:rPr>
            <w:noProof/>
            <w:webHidden/>
          </w:rPr>
        </w:r>
        <w:r>
          <w:rPr>
            <w:noProof/>
            <w:webHidden/>
          </w:rPr>
          <w:fldChar w:fldCharType="separate"/>
        </w:r>
        <w:r w:rsidR="001A2D70">
          <w:rPr>
            <w:noProof/>
            <w:webHidden/>
          </w:rPr>
          <w:t>21</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52" w:history="1">
        <w:r w:rsidR="00D53854" w:rsidRPr="00AB1B86">
          <w:rPr>
            <w:rStyle w:val="Hyperlink"/>
            <w:noProof/>
          </w:rPr>
          <w:t>1.</w:t>
        </w:r>
        <w:r w:rsidR="00D53854">
          <w:rPr>
            <w:rFonts w:asciiTheme="minorHAnsi" w:eastAsiaTheme="minorEastAsia" w:hAnsiTheme="minorHAnsi" w:cstheme="minorBidi"/>
            <w:noProof/>
            <w:sz w:val="22"/>
            <w:szCs w:val="22"/>
          </w:rPr>
          <w:tab/>
        </w:r>
        <w:r w:rsidR="00D53854" w:rsidRPr="00AB1B86">
          <w:rPr>
            <w:rStyle w:val="Hyperlink"/>
            <w:noProof/>
          </w:rPr>
          <w:t>Cost of Capital</w:t>
        </w:r>
        <w:r w:rsidR="00D53854">
          <w:rPr>
            <w:noProof/>
            <w:webHidden/>
          </w:rPr>
          <w:tab/>
        </w:r>
        <w:r>
          <w:rPr>
            <w:noProof/>
            <w:webHidden/>
          </w:rPr>
          <w:fldChar w:fldCharType="begin"/>
        </w:r>
        <w:r w:rsidR="00D53854">
          <w:rPr>
            <w:noProof/>
            <w:webHidden/>
          </w:rPr>
          <w:instrText xml:space="preserve"> PAGEREF _Toc263848852 \h </w:instrText>
        </w:r>
        <w:r>
          <w:rPr>
            <w:noProof/>
            <w:webHidden/>
          </w:rPr>
        </w:r>
        <w:r>
          <w:rPr>
            <w:noProof/>
            <w:webHidden/>
          </w:rPr>
          <w:fldChar w:fldCharType="separate"/>
        </w:r>
        <w:r w:rsidR="001A2D70">
          <w:rPr>
            <w:noProof/>
            <w:webHidden/>
          </w:rPr>
          <w:t>21</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53"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Capital Structure Ratios</w:t>
        </w:r>
        <w:r w:rsidR="00D53854">
          <w:rPr>
            <w:noProof/>
            <w:webHidden/>
          </w:rPr>
          <w:tab/>
        </w:r>
        <w:r>
          <w:rPr>
            <w:noProof/>
            <w:webHidden/>
          </w:rPr>
          <w:fldChar w:fldCharType="begin"/>
        </w:r>
        <w:r w:rsidR="00D53854">
          <w:rPr>
            <w:noProof/>
            <w:webHidden/>
          </w:rPr>
          <w:instrText xml:space="preserve"> PAGEREF _Toc263848853 \h </w:instrText>
        </w:r>
        <w:r>
          <w:rPr>
            <w:noProof/>
            <w:webHidden/>
          </w:rPr>
        </w:r>
        <w:r>
          <w:rPr>
            <w:noProof/>
            <w:webHidden/>
          </w:rPr>
          <w:fldChar w:fldCharType="separate"/>
        </w:r>
        <w:r w:rsidR="001A2D70">
          <w:rPr>
            <w:noProof/>
            <w:webHidden/>
          </w:rPr>
          <w:t>21</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54" w:history="1">
        <w:r w:rsidR="00D53854" w:rsidRPr="00AB1B86">
          <w:rPr>
            <w:rStyle w:val="Hyperlink"/>
            <w:noProof/>
          </w:rPr>
          <w:t>1.</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_Toc263848854 \h </w:instrText>
        </w:r>
        <w:r>
          <w:rPr>
            <w:noProof/>
            <w:webHidden/>
          </w:rPr>
        </w:r>
        <w:r>
          <w:rPr>
            <w:noProof/>
            <w:webHidden/>
          </w:rPr>
          <w:fldChar w:fldCharType="separate"/>
        </w:r>
        <w:r w:rsidR="001A2D70">
          <w:rPr>
            <w:noProof/>
            <w:webHidden/>
          </w:rPr>
          <w:t>21</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55" w:history="1">
        <w:r w:rsidR="00D53854" w:rsidRPr="00AB1B86">
          <w:rPr>
            <w:rStyle w:val="Hyperlink"/>
            <w:noProof/>
          </w:rPr>
          <w:t>2.</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_Toc263848855 \h </w:instrText>
        </w:r>
        <w:r>
          <w:rPr>
            <w:noProof/>
            <w:webHidden/>
          </w:rPr>
        </w:r>
        <w:r>
          <w:rPr>
            <w:noProof/>
            <w:webHidden/>
          </w:rPr>
          <w:fldChar w:fldCharType="separate"/>
        </w:r>
        <w:r w:rsidR="001A2D70">
          <w:rPr>
            <w:noProof/>
            <w:webHidden/>
          </w:rPr>
          <w:t>22</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56" w:history="1">
        <w:r w:rsidR="00D53854" w:rsidRPr="00AB1B86">
          <w:rPr>
            <w:rStyle w:val="Hyperlink"/>
            <w:noProof/>
          </w:rPr>
          <w:t>3.</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_Toc263848856 \h </w:instrText>
        </w:r>
        <w:r>
          <w:rPr>
            <w:noProof/>
            <w:webHidden/>
          </w:rPr>
        </w:r>
        <w:r>
          <w:rPr>
            <w:noProof/>
            <w:webHidden/>
          </w:rPr>
          <w:fldChar w:fldCharType="separate"/>
        </w:r>
        <w:r w:rsidR="001A2D70">
          <w:rPr>
            <w:noProof/>
            <w:webHidden/>
          </w:rPr>
          <w:t>22</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57" w:history="1">
        <w:r w:rsidR="00D53854" w:rsidRPr="00AB1B86">
          <w:rPr>
            <w:rStyle w:val="Hyperlink"/>
            <w:noProof/>
          </w:rPr>
          <w:t>4.</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_Toc263848857 \h </w:instrText>
        </w:r>
        <w:r>
          <w:rPr>
            <w:noProof/>
            <w:webHidden/>
          </w:rPr>
        </w:r>
        <w:r>
          <w:rPr>
            <w:noProof/>
            <w:webHidden/>
          </w:rPr>
          <w:fldChar w:fldCharType="separate"/>
        </w:r>
        <w:r w:rsidR="001A2D70">
          <w:rPr>
            <w:noProof/>
            <w:webHidden/>
          </w:rPr>
          <w:t>25</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58" w:history="1">
        <w:r w:rsidR="00D53854" w:rsidRPr="00AB1B86">
          <w:rPr>
            <w:rStyle w:val="Hyperlink"/>
            <w:noProof/>
          </w:rPr>
          <w:t xml:space="preserve">b.  </w:t>
        </w:r>
        <w:r w:rsidR="00D53854">
          <w:rPr>
            <w:rFonts w:asciiTheme="minorHAnsi" w:eastAsiaTheme="minorEastAsia" w:hAnsiTheme="minorHAnsi" w:cstheme="minorBidi"/>
            <w:noProof/>
            <w:sz w:val="22"/>
            <w:szCs w:val="22"/>
          </w:rPr>
          <w:tab/>
        </w:r>
        <w:r w:rsidR="00D53854" w:rsidRPr="00AB1B86">
          <w:rPr>
            <w:rStyle w:val="Hyperlink"/>
            <w:noProof/>
          </w:rPr>
          <w:t>Cost Rates of Senior Securities</w:t>
        </w:r>
        <w:r w:rsidR="00D53854">
          <w:rPr>
            <w:noProof/>
            <w:webHidden/>
          </w:rPr>
          <w:tab/>
        </w:r>
        <w:r>
          <w:rPr>
            <w:noProof/>
            <w:webHidden/>
          </w:rPr>
          <w:fldChar w:fldCharType="begin"/>
        </w:r>
        <w:r w:rsidR="00D53854">
          <w:rPr>
            <w:noProof/>
            <w:webHidden/>
          </w:rPr>
          <w:instrText xml:space="preserve"> PAGEREF _Toc263848858 \h </w:instrText>
        </w:r>
        <w:r>
          <w:rPr>
            <w:noProof/>
            <w:webHidden/>
          </w:rPr>
        </w:r>
        <w:r>
          <w:rPr>
            <w:noProof/>
            <w:webHidden/>
          </w:rPr>
          <w:fldChar w:fldCharType="separate"/>
        </w:r>
        <w:r w:rsidR="001A2D70">
          <w:rPr>
            <w:noProof/>
            <w:webHidden/>
          </w:rPr>
          <w:t>26</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59" w:history="1">
        <w:r w:rsidR="00D53854" w:rsidRPr="00AB1B86">
          <w:rPr>
            <w:rStyle w:val="Hyperlink"/>
            <w:noProof/>
          </w:rPr>
          <w:t>1.</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_Toc263848859 \h </w:instrText>
        </w:r>
        <w:r>
          <w:rPr>
            <w:noProof/>
            <w:webHidden/>
          </w:rPr>
        </w:r>
        <w:r>
          <w:rPr>
            <w:noProof/>
            <w:webHidden/>
          </w:rPr>
          <w:fldChar w:fldCharType="separate"/>
        </w:r>
        <w:r w:rsidR="001A2D70">
          <w:rPr>
            <w:noProof/>
            <w:webHidden/>
          </w:rPr>
          <w:t>26</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60" w:history="1">
        <w:r w:rsidR="00D53854" w:rsidRPr="00AB1B86">
          <w:rPr>
            <w:rStyle w:val="Hyperlink"/>
            <w:noProof/>
          </w:rPr>
          <w:t>2.</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_Toc263848860 \h </w:instrText>
        </w:r>
        <w:r>
          <w:rPr>
            <w:noProof/>
            <w:webHidden/>
          </w:rPr>
        </w:r>
        <w:r>
          <w:rPr>
            <w:noProof/>
            <w:webHidden/>
          </w:rPr>
          <w:fldChar w:fldCharType="separate"/>
        </w:r>
        <w:r w:rsidR="001A2D70">
          <w:rPr>
            <w:noProof/>
            <w:webHidden/>
          </w:rPr>
          <w:t>26</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61" w:history="1">
        <w:r w:rsidR="00D53854" w:rsidRPr="00AB1B86">
          <w:rPr>
            <w:rStyle w:val="Hyperlink"/>
            <w:noProof/>
          </w:rPr>
          <w:t>3.</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_Toc263848861 \h </w:instrText>
        </w:r>
        <w:r>
          <w:rPr>
            <w:noProof/>
            <w:webHidden/>
          </w:rPr>
        </w:r>
        <w:r>
          <w:rPr>
            <w:noProof/>
            <w:webHidden/>
          </w:rPr>
          <w:fldChar w:fldCharType="separate"/>
        </w:r>
        <w:r w:rsidR="001A2D70">
          <w:rPr>
            <w:noProof/>
            <w:webHidden/>
          </w:rPr>
          <w:t>27</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62" w:history="1">
        <w:r w:rsidR="00D53854" w:rsidRPr="00AB1B86">
          <w:rPr>
            <w:rStyle w:val="Hyperlink"/>
            <w:noProof/>
          </w:rPr>
          <w:t>4.</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_Toc263848862 \h </w:instrText>
        </w:r>
        <w:r>
          <w:rPr>
            <w:noProof/>
            <w:webHidden/>
          </w:rPr>
        </w:r>
        <w:r>
          <w:rPr>
            <w:noProof/>
            <w:webHidden/>
          </w:rPr>
          <w:fldChar w:fldCharType="separate"/>
        </w:r>
        <w:r w:rsidR="001A2D70">
          <w:rPr>
            <w:noProof/>
            <w:webHidden/>
          </w:rPr>
          <w:t>27</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63"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Common Equity Cost Rate</w:t>
        </w:r>
        <w:r w:rsidR="00D53854">
          <w:rPr>
            <w:noProof/>
            <w:webHidden/>
          </w:rPr>
          <w:tab/>
        </w:r>
        <w:r>
          <w:rPr>
            <w:noProof/>
            <w:webHidden/>
          </w:rPr>
          <w:fldChar w:fldCharType="begin"/>
        </w:r>
        <w:r w:rsidR="00D53854">
          <w:rPr>
            <w:noProof/>
            <w:webHidden/>
          </w:rPr>
          <w:instrText xml:space="preserve"> PAGEREF _Toc263848863 \h </w:instrText>
        </w:r>
        <w:r>
          <w:rPr>
            <w:noProof/>
            <w:webHidden/>
          </w:rPr>
        </w:r>
        <w:r>
          <w:rPr>
            <w:noProof/>
            <w:webHidden/>
          </w:rPr>
          <w:fldChar w:fldCharType="separate"/>
        </w:r>
        <w:r w:rsidR="001A2D70">
          <w:rPr>
            <w:noProof/>
            <w:webHidden/>
          </w:rPr>
          <w:t>28</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64" w:history="1">
        <w:r w:rsidR="00D53854" w:rsidRPr="00AB1B86">
          <w:rPr>
            <w:rStyle w:val="Hyperlink"/>
            <w:noProof/>
          </w:rPr>
          <w:t>1.</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_Toc263848864 \h </w:instrText>
        </w:r>
        <w:r>
          <w:rPr>
            <w:noProof/>
            <w:webHidden/>
          </w:rPr>
        </w:r>
        <w:r>
          <w:rPr>
            <w:noProof/>
            <w:webHidden/>
          </w:rPr>
          <w:fldChar w:fldCharType="separate"/>
        </w:r>
        <w:r w:rsidR="001A2D70">
          <w:rPr>
            <w:noProof/>
            <w:webHidden/>
          </w:rPr>
          <w:t>28</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65" w:history="1">
        <w:r w:rsidR="00D53854" w:rsidRPr="00AB1B86">
          <w:rPr>
            <w:rStyle w:val="Hyperlink"/>
            <w:noProof/>
          </w:rPr>
          <w:t>2.</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_Toc263848865 \h </w:instrText>
        </w:r>
        <w:r>
          <w:rPr>
            <w:noProof/>
            <w:webHidden/>
          </w:rPr>
        </w:r>
        <w:r>
          <w:rPr>
            <w:noProof/>
            <w:webHidden/>
          </w:rPr>
          <w:fldChar w:fldCharType="separate"/>
        </w:r>
        <w:r w:rsidR="001A2D70">
          <w:rPr>
            <w:noProof/>
            <w:webHidden/>
          </w:rPr>
          <w:t>28</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66" w:history="1">
        <w:r w:rsidR="00D53854" w:rsidRPr="00AB1B86">
          <w:rPr>
            <w:rStyle w:val="Hyperlink"/>
            <w:noProof/>
          </w:rPr>
          <w:t>3.</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_Toc263848866 \h </w:instrText>
        </w:r>
        <w:r>
          <w:rPr>
            <w:noProof/>
            <w:webHidden/>
          </w:rPr>
        </w:r>
        <w:r>
          <w:rPr>
            <w:noProof/>
            <w:webHidden/>
          </w:rPr>
          <w:fldChar w:fldCharType="separate"/>
        </w:r>
        <w:r w:rsidR="001A2D70">
          <w:rPr>
            <w:noProof/>
            <w:webHidden/>
          </w:rPr>
          <w:t>29</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67" w:history="1">
        <w:r w:rsidR="00D53854" w:rsidRPr="00AB1B86">
          <w:rPr>
            <w:rStyle w:val="Hyperlink"/>
            <w:noProof/>
          </w:rPr>
          <w:t>4.</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_Toc263848867 \h </w:instrText>
        </w:r>
        <w:r>
          <w:rPr>
            <w:noProof/>
            <w:webHidden/>
          </w:rPr>
        </w:r>
        <w:r>
          <w:rPr>
            <w:noProof/>
            <w:webHidden/>
          </w:rPr>
          <w:fldChar w:fldCharType="separate"/>
        </w:r>
        <w:r w:rsidR="001A2D70">
          <w:rPr>
            <w:noProof/>
            <w:webHidden/>
          </w:rPr>
          <w:t>30</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68" w:history="1">
        <w:r w:rsidR="00D53854" w:rsidRPr="00AB1B86">
          <w:rPr>
            <w:rStyle w:val="Hyperlink"/>
            <w:noProof/>
          </w:rPr>
          <w:t>2.</w:t>
        </w:r>
        <w:r w:rsidR="00D53854">
          <w:rPr>
            <w:rFonts w:asciiTheme="minorHAnsi" w:eastAsiaTheme="minorEastAsia" w:hAnsiTheme="minorHAnsi" w:cstheme="minorBidi"/>
            <w:noProof/>
            <w:sz w:val="22"/>
            <w:szCs w:val="22"/>
          </w:rPr>
          <w:tab/>
        </w:r>
        <w:r w:rsidR="00D53854" w:rsidRPr="00AB1B86">
          <w:rPr>
            <w:rStyle w:val="Hyperlink"/>
            <w:noProof/>
          </w:rPr>
          <w:t>SMT-C Filing and Reconciliation Dates and Adjustment Periods</w:t>
        </w:r>
        <w:r w:rsidR="00D53854">
          <w:rPr>
            <w:noProof/>
            <w:webHidden/>
          </w:rPr>
          <w:tab/>
        </w:r>
        <w:r>
          <w:rPr>
            <w:noProof/>
            <w:webHidden/>
          </w:rPr>
          <w:fldChar w:fldCharType="begin"/>
        </w:r>
        <w:r w:rsidR="00D53854">
          <w:rPr>
            <w:noProof/>
            <w:webHidden/>
          </w:rPr>
          <w:instrText xml:space="preserve"> PAGEREF _Toc263848868 \h </w:instrText>
        </w:r>
        <w:r>
          <w:rPr>
            <w:noProof/>
            <w:webHidden/>
          </w:rPr>
        </w:r>
        <w:r>
          <w:rPr>
            <w:noProof/>
            <w:webHidden/>
          </w:rPr>
          <w:fldChar w:fldCharType="separate"/>
        </w:r>
        <w:r w:rsidR="001A2D70">
          <w:rPr>
            <w:noProof/>
            <w:webHidden/>
          </w:rPr>
          <w:t>31</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69"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_Toc263848869 \h </w:instrText>
        </w:r>
        <w:r>
          <w:rPr>
            <w:noProof/>
            <w:webHidden/>
          </w:rPr>
        </w:r>
        <w:r>
          <w:rPr>
            <w:noProof/>
            <w:webHidden/>
          </w:rPr>
          <w:fldChar w:fldCharType="separate"/>
        </w:r>
        <w:r w:rsidR="001A2D70">
          <w:rPr>
            <w:noProof/>
            <w:webHidden/>
          </w:rPr>
          <w:t>31</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70"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_Toc263848870 \h </w:instrText>
        </w:r>
        <w:r>
          <w:rPr>
            <w:noProof/>
            <w:webHidden/>
          </w:rPr>
        </w:r>
        <w:r>
          <w:rPr>
            <w:noProof/>
            <w:webHidden/>
          </w:rPr>
          <w:fldChar w:fldCharType="separate"/>
        </w:r>
        <w:r w:rsidR="001A2D70">
          <w:rPr>
            <w:noProof/>
            <w:webHidden/>
          </w:rPr>
          <w:t>32</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71"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_Toc263848871 \h </w:instrText>
        </w:r>
        <w:r>
          <w:rPr>
            <w:noProof/>
            <w:webHidden/>
          </w:rPr>
        </w:r>
        <w:r>
          <w:rPr>
            <w:noProof/>
            <w:webHidden/>
          </w:rPr>
          <w:fldChar w:fldCharType="separate"/>
        </w:r>
        <w:r w:rsidR="001A2D70">
          <w:rPr>
            <w:noProof/>
            <w:webHidden/>
          </w:rPr>
          <w:t>32</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72" w:history="1">
        <w:r w:rsidR="00D53854" w:rsidRPr="00AB1B86">
          <w:rPr>
            <w:rStyle w:val="Hyperlink"/>
            <w:noProof/>
          </w:rPr>
          <w:t>d.</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_Toc263848872 \h </w:instrText>
        </w:r>
        <w:r>
          <w:rPr>
            <w:noProof/>
            <w:webHidden/>
          </w:rPr>
        </w:r>
        <w:r>
          <w:rPr>
            <w:noProof/>
            <w:webHidden/>
          </w:rPr>
          <w:fldChar w:fldCharType="separate"/>
        </w:r>
        <w:r w:rsidR="001A2D70">
          <w:rPr>
            <w:noProof/>
            <w:webHidden/>
          </w:rPr>
          <w:t>34</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73" w:history="1">
        <w:r w:rsidR="00D53854" w:rsidRPr="00AB1B86">
          <w:rPr>
            <w:rStyle w:val="Hyperlink"/>
            <w:noProof/>
          </w:rPr>
          <w:t>3.</w:t>
        </w:r>
        <w:r w:rsidR="00D53854">
          <w:rPr>
            <w:rFonts w:asciiTheme="minorHAnsi" w:eastAsiaTheme="minorEastAsia" w:hAnsiTheme="minorHAnsi" w:cstheme="minorBidi"/>
            <w:noProof/>
            <w:sz w:val="22"/>
            <w:szCs w:val="22"/>
          </w:rPr>
          <w:tab/>
        </w:r>
        <w:r w:rsidR="00D53854" w:rsidRPr="00AB1B86">
          <w:rPr>
            <w:rStyle w:val="Hyperlink"/>
            <w:noProof/>
          </w:rPr>
          <w:t>Interest on Over- and Under-Collections</w:t>
        </w:r>
        <w:r w:rsidR="00D53854">
          <w:rPr>
            <w:noProof/>
            <w:webHidden/>
          </w:rPr>
          <w:tab/>
        </w:r>
        <w:r>
          <w:rPr>
            <w:noProof/>
            <w:webHidden/>
          </w:rPr>
          <w:fldChar w:fldCharType="begin"/>
        </w:r>
        <w:r w:rsidR="00D53854">
          <w:rPr>
            <w:noProof/>
            <w:webHidden/>
          </w:rPr>
          <w:instrText xml:space="preserve"> PAGEREF _Toc263848873 \h </w:instrText>
        </w:r>
        <w:r>
          <w:rPr>
            <w:noProof/>
            <w:webHidden/>
          </w:rPr>
        </w:r>
        <w:r>
          <w:rPr>
            <w:noProof/>
            <w:webHidden/>
          </w:rPr>
          <w:fldChar w:fldCharType="separate"/>
        </w:r>
        <w:r w:rsidR="001A2D70">
          <w:rPr>
            <w:noProof/>
            <w:webHidden/>
          </w:rPr>
          <w:t>35</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74"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_Toc263848874 \h </w:instrText>
        </w:r>
        <w:r>
          <w:rPr>
            <w:noProof/>
            <w:webHidden/>
          </w:rPr>
        </w:r>
        <w:r>
          <w:rPr>
            <w:noProof/>
            <w:webHidden/>
          </w:rPr>
          <w:fldChar w:fldCharType="separate"/>
        </w:r>
        <w:r w:rsidR="001A2D70">
          <w:rPr>
            <w:noProof/>
            <w:webHidden/>
          </w:rPr>
          <w:t>35</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75"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_Toc263848875 \h </w:instrText>
        </w:r>
        <w:r>
          <w:rPr>
            <w:noProof/>
            <w:webHidden/>
          </w:rPr>
        </w:r>
        <w:r>
          <w:rPr>
            <w:noProof/>
            <w:webHidden/>
          </w:rPr>
          <w:fldChar w:fldCharType="separate"/>
        </w:r>
        <w:r w:rsidR="001A2D70">
          <w:rPr>
            <w:noProof/>
            <w:webHidden/>
          </w:rPr>
          <w:t>35</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76"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_Toc263848876 \h </w:instrText>
        </w:r>
        <w:r>
          <w:rPr>
            <w:noProof/>
            <w:webHidden/>
          </w:rPr>
        </w:r>
        <w:r>
          <w:rPr>
            <w:noProof/>
            <w:webHidden/>
          </w:rPr>
          <w:fldChar w:fldCharType="separate"/>
        </w:r>
        <w:r w:rsidR="001A2D70">
          <w:rPr>
            <w:noProof/>
            <w:webHidden/>
          </w:rPr>
          <w:t>36</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77" w:history="1">
        <w:r w:rsidR="00D53854" w:rsidRPr="00AB1B86">
          <w:rPr>
            <w:rStyle w:val="Hyperlink"/>
            <w:noProof/>
          </w:rPr>
          <w:t>d.</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_Toc263848877 \h </w:instrText>
        </w:r>
        <w:r>
          <w:rPr>
            <w:noProof/>
            <w:webHidden/>
          </w:rPr>
        </w:r>
        <w:r>
          <w:rPr>
            <w:noProof/>
            <w:webHidden/>
          </w:rPr>
          <w:fldChar w:fldCharType="separate"/>
        </w:r>
        <w:r w:rsidR="001A2D70">
          <w:rPr>
            <w:noProof/>
            <w:webHidden/>
          </w:rPr>
          <w:t>37</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78" w:history="1">
        <w:r w:rsidR="00D53854" w:rsidRPr="00AB1B86">
          <w:rPr>
            <w:rStyle w:val="Hyperlink"/>
            <w:noProof/>
          </w:rPr>
          <w:t>4.</w:t>
        </w:r>
        <w:r w:rsidR="00D53854">
          <w:rPr>
            <w:rFonts w:asciiTheme="minorHAnsi" w:eastAsiaTheme="minorEastAsia" w:hAnsiTheme="minorHAnsi" w:cstheme="minorBidi"/>
            <w:noProof/>
            <w:sz w:val="22"/>
            <w:szCs w:val="22"/>
          </w:rPr>
          <w:tab/>
        </w:r>
        <w:r w:rsidR="00D53854" w:rsidRPr="00AB1B86">
          <w:rPr>
            <w:rStyle w:val="Hyperlink"/>
            <w:noProof/>
          </w:rPr>
          <w:t>Current Recovery of Start-Up and Assessment Period Costs</w:t>
        </w:r>
        <w:r w:rsidR="00D53854">
          <w:rPr>
            <w:noProof/>
            <w:webHidden/>
          </w:rPr>
          <w:tab/>
        </w:r>
        <w:r>
          <w:rPr>
            <w:noProof/>
            <w:webHidden/>
          </w:rPr>
          <w:fldChar w:fldCharType="begin"/>
        </w:r>
        <w:r w:rsidR="00D53854">
          <w:rPr>
            <w:noProof/>
            <w:webHidden/>
          </w:rPr>
          <w:instrText xml:space="preserve"> PAGEREF _Toc263848878 \h </w:instrText>
        </w:r>
        <w:r>
          <w:rPr>
            <w:noProof/>
            <w:webHidden/>
          </w:rPr>
        </w:r>
        <w:r>
          <w:rPr>
            <w:noProof/>
            <w:webHidden/>
          </w:rPr>
          <w:fldChar w:fldCharType="separate"/>
        </w:r>
        <w:r w:rsidR="001A2D70">
          <w:rPr>
            <w:noProof/>
            <w:webHidden/>
          </w:rPr>
          <w:t>38</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79"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_Toc263848879 \h </w:instrText>
        </w:r>
        <w:r>
          <w:rPr>
            <w:noProof/>
            <w:webHidden/>
          </w:rPr>
        </w:r>
        <w:r>
          <w:rPr>
            <w:noProof/>
            <w:webHidden/>
          </w:rPr>
          <w:fldChar w:fldCharType="separate"/>
        </w:r>
        <w:r w:rsidR="001A2D70">
          <w:rPr>
            <w:noProof/>
            <w:webHidden/>
          </w:rPr>
          <w:t>38</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80"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_Toc263848880 \h </w:instrText>
        </w:r>
        <w:r>
          <w:rPr>
            <w:noProof/>
            <w:webHidden/>
          </w:rPr>
        </w:r>
        <w:r>
          <w:rPr>
            <w:noProof/>
            <w:webHidden/>
          </w:rPr>
          <w:fldChar w:fldCharType="separate"/>
        </w:r>
        <w:r w:rsidR="001A2D70">
          <w:rPr>
            <w:noProof/>
            <w:webHidden/>
          </w:rPr>
          <w:t>39</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81"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_Toc263848881 \h </w:instrText>
        </w:r>
        <w:r>
          <w:rPr>
            <w:noProof/>
            <w:webHidden/>
          </w:rPr>
        </w:r>
        <w:r>
          <w:rPr>
            <w:noProof/>
            <w:webHidden/>
          </w:rPr>
          <w:fldChar w:fldCharType="separate"/>
        </w:r>
        <w:r w:rsidR="001A2D70">
          <w:rPr>
            <w:noProof/>
            <w:webHidden/>
          </w:rPr>
          <w:t>39</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82" w:history="1">
        <w:r w:rsidR="00D53854" w:rsidRPr="00AB1B86">
          <w:rPr>
            <w:rStyle w:val="Hyperlink"/>
            <w:noProof/>
          </w:rPr>
          <w:t>d.</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_Toc263848882 \h </w:instrText>
        </w:r>
        <w:r>
          <w:rPr>
            <w:noProof/>
            <w:webHidden/>
          </w:rPr>
        </w:r>
        <w:r>
          <w:rPr>
            <w:noProof/>
            <w:webHidden/>
          </w:rPr>
          <w:fldChar w:fldCharType="separate"/>
        </w:r>
        <w:r w:rsidR="001A2D70">
          <w:rPr>
            <w:noProof/>
            <w:webHidden/>
          </w:rPr>
          <w:t>40</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83" w:history="1">
        <w:r w:rsidR="00D53854" w:rsidRPr="00AB1B86">
          <w:rPr>
            <w:rStyle w:val="Hyperlink"/>
            <w:noProof/>
          </w:rPr>
          <w:t>5.</w:t>
        </w:r>
        <w:r w:rsidR="00D53854">
          <w:rPr>
            <w:rFonts w:asciiTheme="minorHAnsi" w:eastAsiaTheme="minorEastAsia" w:hAnsiTheme="minorHAnsi" w:cstheme="minorBidi"/>
            <w:noProof/>
            <w:sz w:val="22"/>
            <w:szCs w:val="22"/>
          </w:rPr>
          <w:tab/>
        </w:r>
        <w:r w:rsidR="00D53854" w:rsidRPr="00AB1B86">
          <w:rPr>
            <w:rStyle w:val="Hyperlink"/>
            <w:noProof/>
          </w:rPr>
          <w:t>Recognition of Operating Expense Reductions and Avoided Capital Costs</w:t>
        </w:r>
        <w:r w:rsidR="00D53854">
          <w:rPr>
            <w:noProof/>
            <w:webHidden/>
          </w:rPr>
          <w:tab/>
        </w:r>
        <w:r>
          <w:rPr>
            <w:noProof/>
            <w:webHidden/>
          </w:rPr>
          <w:fldChar w:fldCharType="begin"/>
        </w:r>
        <w:r w:rsidR="00D53854">
          <w:rPr>
            <w:noProof/>
            <w:webHidden/>
          </w:rPr>
          <w:instrText xml:space="preserve"> PAGEREF _Toc263848883 \h </w:instrText>
        </w:r>
        <w:r>
          <w:rPr>
            <w:noProof/>
            <w:webHidden/>
          </w:rPr>
        </w:r>
        <w:r>
          <w:rPr>
            <w:noProof/>
            <w:webHidden/>
          </w:rPr>
          <w:fldChar w:fldCharType="separate"/>
        </w:r>
        <w:r w:rsidR="001A2D70">
          <w:rPr>
            <w:noProof/>
            <w:webHidden/>
          </w:rPr>
          <w:t>41</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84"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_Toc263848884 \h </w:instrText>
        </w:r>
        <w:r>
          <w:rPr>
            <w:noProof/>
            <w:webHidden/>
          </w:rPr>
        </w:r>
        <w:r>
          <w:rPr>
            <w:noProof/>
            <w:webHidden/>
          </w:rPr>
          <w:fldChar w:fldCharType="separate"/>
        </w:r>
        <w:r w:rsidR="001A2D70">
          <w:rPr>
            <w:noProof/>
            <w:webHidden/>
          </w:rPr>
          <w:t>41</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85"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_Toc263848885 \h </w:instrText>
        </w:r>
        <w:r>
          <w:rPr>
            <w:noProof/>
            <w:webHidden/>
          </w:rPr>
        </w:r>
        <w:r>
          <w:rPr>
            <w:noProof/>
            <w:webHidden/>
          </w:rPr>
          <w:fldChar w:fldCharType="separate"/>
        </w:r>
        <w:r w:rsidR="001A2D70">
          <w:rPr>
            <w:noProof/>
            <w:webHidden/>
          </w:rPr>
          <w:t>42</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86"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_Toc263848886 \h </w:instrText>
        </w:r>
        <w:r>
          <w:rPr>
            <w:noProof/>
            <w:webHidden/>
          </w:rPr>
        </w:r>
        <w:r>
          <w:rPr>
            <w:noProof/>
            <w:webHidden/>
          </w:rPr>
          <w:fldChar w:fldCharType="separate"/>
        </w:r>
        <w:r w:rsidR="001A2D70">
          <w:rPr>
            <w:noProof/>
            <w:webHidden/>
          </w:rPr>
          <w:t>42</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87" w:history="1">
        <w:r w:rsidR="00D53854" w:rsidRPr="00AB1B86">
          <w:rPr>
            <w:rStyle w:val="Hyperlink"/>
            <w:noProof/>
          </w:rPr>
          <w:t>d.</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_Toc263848887 \h </w:instrText>
        </w:r>
        <w:r>
          <w:rPr>
            <w:noProof/>
            <w:webHidden/>
          </w:rPr>
        </w:r>
        <w:r>
          <w:rPr>
            <w:noProof/>
            <w:webHidden/>
          </w:rPr>
          <w:fldChar w:fldCharType="separate"/>
        </w:r>
        <w:r w:rsidR="001A2D70">
          <w:rPr>
            <w:noProof/>
            <w:webHidden/>
          </w:rPr>
          <w:t>43</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88" w:history="1">
        <w:r w:rsidR="00D53854" w:rsidRPr="00AB1B86">
          <w:rPr>
            <w:rStyle w:val="Hyperlink"/>
            <w:noProof/>
          </w:rPr>
          <w:t>6.</w:t>
        </w:r>
        <w:r w:rsidR="00D53854">
          <w:rPr>
            <w:rFonts w:asciiTheme="minorHAnsi" w:eastAsiaTheme="minorEastAsia" w:hAnsiTheme="minorHAnsi" w:cstheme="minorBidi"/>
            <w:noProof/>
            <w:sz w:val="22"/>
            <w:szCs w:val="22"/>
          </w:rPr>
          <w:tab/>
        </w:r>
        <w:r w:rsidR="00D53854" w:rsidRPr="00AB1B86">
          <w:rPr>
            <w:rStyle w:val="Hyperlink"/>
            <w:noProof/>
          </w:rPr>
          <w:t>Cost Allocation</w:t>
        </w:r>
        <w:r w:rsidR="00D53854">
          <w:rPr>
            <w:noProof/>
            <w:webHidden/>
          </w:rPr>
          <w:tab/>
        </w:r>
        <w:r>
          <w:rPr>
            <w:noProof/>
            <w:webHidden/>
          </w:rPr>
          <w:fldChar w:fldCharType="begin"/>
        </w:r>
        <w:r w:rsidR="00D53854">
          <w:rPr>
            <w:noProof/>
            <w:webHidden/>
          </w:rPr>
          <w:instrText xml:space="preserve"> PAGEREF _Toc263848888 \h </w:instrText>
        </w:r>
        <w:r>
          <w:rPr>
            <w:noProof/>
            <w:webHidden/>
          </w:rPr>
        </w:r>
        <w:r>
          <w:rPr>
            <w:noProof/>
            <w:webHidden/>
          </w:rPr>
          <w:fldChar w:fldCharType="separate"/>
        </w:r>
        <w:r w:rsidR="001A2D70">
          <w:rPr>
            <w:noProof/>
            <w:webHidden/>
          </w:rPr>
          <w:t>45</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89"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_Toc263848889 \h </w:instrText>
        </w:r>
        <w:r>
          <w:rPr>
            <w:noProof/>
            <w:webHidden/>
          </w:rPr>
        </w:r>
        <w:r>
          <w:rPr>
            <w:noProof/>
            <w:webHidden/>
          </w:rPr>
          <w:fldChar w:fldCharType="separate"/>
        </w:r>
        <w:r w:rsidR="001A2D70">
          <w:rPr>
            <w:noProof/>
            <w:webHidden/>
          </w:rPr>
          <w:t>45</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90"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_Toc263848890 \h </w:instrText>
        </w:r>
        <w:r>
          <w:rPr>
            <w:noProof/>
            <w:webHidden/>
          </w:rPr>
        </w:r>
        <w:r>
          <w:rPr>
            <w:noProof/>
            <w:webHidden/>
          </w:rPr>
          <w:fldChar w:fldCharType="separate"/>
        </w:r>
        <w:r w:rsidR="001A2D70">
          <w:rPr>
            <w:noProof/>
            <w:webHidden/>
          </w:rPr>
          <w:t>46</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91" w:history="1">
        <w:r w:rsidR="00D53854" w:rsidRPr="00AB1B86">
          <w:rPr>
            <w:rStyle w:val="Hyperlink"/>
            <w:noProof/>
          </w:rPr>
          <w:t>c.</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_Toc263848891 \h </w:instrText>
        </w:r>
        <w:r>
          <w:rPr>
            <w:noProof/>
            <w:webHidden/>
          </w:rPr>
        </w:r>
        <w:r>
          <w:rPr>
            <w:noProof/>
            <w:webHidden/>
          </w:rPr>
          <w:fldChar w:fldCharType="separate"/>
        </w:r>
        <w:r w:rsidR="001A2D70">
          <w:rPr>
            <w:noProof/>
            <w:webHidden/>
          </w:rPr>
          <w:t>46</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92" w:history="1">
        <w:r w:rsidR="00D53854" w:rsidRPr="00AB1B86">
          <w:rPr>
            <w:rStyle w:val="Hyperlink"/>
            <w:noProof/>
          </w:rPr>
          <w:t>d.</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_Toc263848892 \h </w:instrText>
        </w:r>
        <w:r>
          <w:rPr>
            <w:noProof/>
            <w:webHidden/>
          </w:rPr>
        </w:r>
        <w:r>
          <w:rPr>
            <w:noProof/>
            <w:webHidden/>
          </w:rPr>
          <w:fldChar w:fldCharType="separate"/>
        </w:r>
        <w:r w:rsidR="001A2D70">
          <w:rPr>
            <w:noProof/>
            <w:webHidden/>
          </w:rPr>
          <w:t>49</w:t>
        </w:r>
        <w:r>
          <w:rPr>
            <w:noProof/>
            <w:webHidden/>
          </w:rPr>
          <w:fldChar w:fldCharType="end"/>
        </w:r>
      </w:hyperlink>
    </w:p>
    <w:p w:rsidR="00D53854" w:rsidRDefault="005C5411">
      <w:pPr>
        <w:pStyle w:val="TOC3"/>
        <w:rPr>
          <w:rFonts w:asciiTheme="minorHAnsi" w:eastAsiaTheme="minorEastAsia" w:hAnsiTheme="minorHAnsi" w:cstheme="minorBidi"/>
          <w:noProof/>
          <w:sz w:val="22"/>
          <w:szCs w:val="22"/>
        </w:rPr>
      </w:pPr>
      <w:hyperlink w:anchor="_Toc263848893" w:history="1">
        <w:r w:rsidR="00D53854" w:rsidRPr="00AB1B86">
          <w:rPr>
            <w:rStyle w:val="Hyperlink"/>
            <w:noProof/>
          </w:rPr>
          <w:t>7.</w:t>
        </w:r>
        <w:r w:rsidR="00D53854">
          <w:rPr>
            <w:rFonts w:asciiTheme="minorHAnsi" w:eastAsiaTheme="minorEastAsia" w:hAnsiTheme="minorHAnsi" w:cstheme="minorBidi"/>
            <w:noProof/>
            <w:sz w:val="22"/>
            <w:szCs w:val="22"/>
          </w:rPr>
          <w:tab/>
        </w:r>
        <w:r w:rsidR="00D53854" w:rsidRPr="00AB1B86">
          <w:rPr>
            <w:rStyle w:val="Hyperlink"/>
            <w:noProof/>
          </w:rPr>
          <w:t>Rate Design</w:t>
        </w:r>
        <w:r w:rsidR="00D53854">
          <w:rPr>
            <w:noProof/>
            <w:webHidden/>
          </w:rPr>
          <w:tab/>
        </w:r>
        <w:r>
          <w:rPr>
            <w:noProof/>
            <w:webHidden/>
          </w:rPr>
          <w:fldChar w:fldCharType="begin"/>
        </w:r>
        <w:r w:rsidR="00D53854">
          <w:rPr>
            <w:noProof/>
            <w:webHidden/>
          </w:rPr>
          <w:instrText xml:space="preserve"> PAGEREF _Toc263848893 \h </w:instrText>
        </w:r>
        <w:r>
          <w:rPr>
            <w:noProof/>
            <w:webHidden/>
          </w:rPr>
        </w:r>
        <w:r>
          <w:rPr>
            <w:noProof/>
            <w:webHidden/>
          </w:rPr>
          <w:fldChar w:fldCharType="separate"/>
        </w:r>
        <w:r w:rsidR="001A2D70">
          <w:rPr>
            <w:noProof/>
            <w:webHidden/>
          </w:rPr>
          <w:t>50</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94" w:history="1">
        <w:r w:rsidR="00D53854" w:rsidRPr="00AB1B86">
          <w:rPr>
            <w:rStyle w:val="Hyperlink"/>
            <w:noProof/>
          </w:rPr>
          <w:t>a.</w:t>
        </w:r>
        <w:r w:rsidR="00D53854">
          <w:rPr>
            <w:rFonts w:asciiTheme="minorHAnsi" w:eastAsiaTheme="minorEastAsia" w:hAnsiTheme="minorHAnsi" w:cstheme="minorBidi"/>
            <w:noProof/>
            <w:sz w:val="22"/>
            <w:szCs w:val="22"/>
          </w:rPr>
          <w:tab/>
        </w:r>
        <w:r w:rsidR="00D53854" w:rsidRPr="00AB1B86">
          <w:rPr>
            <w:rStyle w:val="Hyperlink"/>
            <w:noProof/>
          </w:rPr>
          <w:t>Residential</w:t>
        </w:r>
        <w:r w:rsidR="00D53854">
          <w:rPr>
            <w:noProof/>
            <w:webHidden/>
          </w:rPr>
          <w:tab/>
        </w:r>
        <w:r>
          <w:rPr>
            <w:noProof/>
            <w:webHidden/>
          </w:rPr>
          <w:fldChar w:fldCharType="begin"/>
        </w:r>
        <w:r w:rsidR="00D53854">
          <w:rPr>
            <w:noProof/>
            <w:webHidden/>
          </w:rPr>
          <w:instrText xml:space="preserve"> PAGEREF _Toc263848894 \h </w:instrText>
        </w:r>
        <w:r>
          <w:rPr>
            <w:noProof/>
            <w:webHidden/>
          </w:rPr>
        </w:r>
        <w:r>
          <w:rPr>
            <w:noProof/>
            <w:webHidden/>
          </w:rPr>
          <w:fldChar w:fldCharType="separate"/>
        </w:r>
        <w:r w:rsidR="001A2D70">
          <w:rPr>
            <w:noProof/>
            <w:webHidden/>
          </w:rPr>
          <w:t>50</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95" w:history="1">
        <w:r w:rsidR="00D53854" w:rsidRPr="00AB1B86">
          <w:rPr>
            <w:rStyle w:val="Hyperlink"/>
            <w:noProof/>
          </w:rPr>
          <w:t>i.</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_Toc263848895 \h </w:instrText>
        </w:r>
        <w:r>
          <w:rPr>
            <w:noProof/>
            <w:webHidden/>
          </w:rPr>
        </w:r>
        <w:r>
          <w:rPr>
            <w:noProof/>
            <w:webHidden/>
          </w:rPr>
          <w:fldChar w:fldCharType="separate"/>
        </w:r>
        <w:r w:rsidR="001A2D70">
          <w:rPr>
            <w:noProof/>
            <w:webHidden/>
          </w:rPr>
          <w:t>50</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96" w:history="1">
        <w:r w:rsidR="00D53854" w:rsidRPr="00AB1B86">
          <w:rPr>
            <w:rStyle w:val="Hyperlink"/>
            <w:noProof/>
          </w:rPr>
          <w:t>ii.</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_Toc263848896 \h </w:instrText>
        </w:r>
        <w:r>
          <w:rPr>
            <w:noProof/>
            <w:webHidden/>
          </w:rPr>
        </w:r>
        <w:r>
          <w:rPr>
            <w:noProof/>
            <w:webHidden/>
          </w:rPr>
          <w:fldChar w:fldCharType="separate"/>
        </w:r>
        <w:r w:rsidR="001A2D70">
          <w:rPr>
            <w:noProof/>
            <w:webHidden/>
          </w:rPr>
          <w:t>50</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97" w:history="1">
        <w:r w:rsidR="00D53854" w:rsidRPr="00AB1B86">
          <w:rPr>
            <w:rStyle w:val="Hyperlink"/>
            <w:noProof/>
          </w:rPr>
          <w:t>iii.</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_Toc263848897 \h </w:instrText>
        </w:r>
        <w:r>
          <w:rPr>
            <w:noProof/>
            <w:webHidden/>
          </w:rPr>
        </w:r>
        <w:r>
          <w:rPr>
            <w:noProof/>
            <w:webHidden/>
          </w:rPr>
          <w:fldChar w:fldCharType="separate"/>
        </w:r>
        <w:r w:rsidR="001A2D70">
          <w:rPr>
            <w:noProof/>
            <w:webHidden/>
          </w:rPr>
          <w:t>51</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898" w:history="1">
        <w:r w:rsidR="00D53854" w:rsidRPr="00AB1B86">
          <w:rPr>
            <w:rStyle w:val="Hyperlink"/>
            <w:noProof/>
          </w:rPr>
          <w:t>iv.</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_Toc263848898 \h </w:instrText>
        </w:r>
        <w:r>
          <w:rPr>
            <w:noProof/>
            <w:webHidden/>
          </w:rPr>
        </w:r>
        <w:r>
          <w:rPr>
            <w:noProof/>
            <w:webHidden/>
          </w:rPr>
          <w:fldChar w:fldCharType="separate"/>
        </w:r>
        <w:r w:rsidR="001A2D70">
          <w:rPr>
            <w:noProof/>
            <w:webHidden/>
          </w:rPr>
          <w:t>51</w:t>
        </w:r>
        <w:r>
          <w:rPr>
            <w:noProof/>
            <w:webHidden/>
          </w:rPr>
          <w:fldChar w:fldCharType="end"/>
        </w:r>
      </w:hyperlink>
    </w:p>
    <w:p w:rsidR="00D53854" w:rsidRDefault="005C5411">
      <w:pPr>
        <w:pStyle w:val="TOC4"/>
        <w:rPr>
          <w:rFonts w:asciiTheme="minorHAnsi" w:eastAsiaTheme="minorEastAsia" w:hAnsiTheme="minorHAnsi" w:cstheme="minorBidi"/>
          <w:noProof/>
          <w:sz w:val="22"/>
          <w:szCs w:val="22"/>
        </w:rPr>
      </w:pPr>
      <w:hyperlink w:anchor="_Toc263848899" w:history="1">
        <w:r w:rsidR="00D53854" w:rsidRPr="00AB1B86">
          <w:rPr>
            <w:rStyle w:val="Hyperlink"/>
            <w:noProof/>
          </w:rPr>
          <w:t>b.</w:t>
        </w:r>
        <w:r w:rsidR="00D53854">
          <w:rPr>
            <w:rFonts w:asciiTheme="minorHAnsi" w:eastAsiaTheme="minorEastAsia" w:hAnsiTheme="minorHAnsi" w:cstheme="minorBidi"/>
            <w:noProof/>
            <w:sz w:val="22"/>
            <w:szCs w:val="22"/>
          </w:rPr>
          <w:tab/>
        </w:r>
        <w:r w:rsidR="00D53854" w:rsidRPr="00AB1B86">
          <w:rPr>
            <w:rStyle w:val="Hyperlink"/>
            <w:noProof/>
          </w:rPr>
          <w:t>Commercial</w:t>
        </w:r>
        <w:r w:rsidR="00D53854">
          <w:rPr>
            <w:noProof/>
            <w:webHidden/>
          </w:rPr>
          <w:tab/>
        </w:r>
        <w:r>
          <w:rPr>
            <w:noProof/>
            <w:webHidden/>
          </w:rPr>
          <w:fldChar w:fldCharType="begin"/>
        </w:r>
        <w:r w:rsidR="00D53854">
          <w:rPr>
            <w:noProof/>
            <w:webHidden/>
          </w:rPr>
          <w:instrText xml:space="preserve"> PAGEREF _Toc263848899 \h </w:instrText>
        </w:r>
        <w:r>
          <w:rPr>
            <w:noProof/>
            <w:webHidden/>
          </w:rPr>
        </w:r>
        <w:r>
          <w:rPr>
            <w:noProof/>
            <w:webHidden/>
          </w:rPr>
          <w:fldChar w:fldCharType="separate"/>
        </w:r>
        <w:r w:rsidR="001A2D70">
          <w:rPr>
            <w:noProof/>
            <w:webHidden/>
          </w:rPr>
          <w:t>52</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900" w:history="1">
        <w:r w:rsidR="00D53854" w:rsidRPr="00AB1B86">
          <w:rPr>
            <w:rStyle w:val="Hyperlink"/>
            <w:noProof/>
          </w:rPr>
          <w:t>i.</w:t>
        </w:r>
        <w:r w:rsidR="00D53854">
          <w:rPr>
            <w:rFonts w:asciiTheme="minorHAnsi" w:eastAsiaTheme="minorEastAsia" w:hAnsiTheme="minorHAnsi" w:cstheme="minorBidi"/>
            <w:noProof/>
            <w:sz w:val="22"/>
            <w:szCs w:val="22"/>
          </w:rPr>
          <w:tab/>
        </w:r>
        <w:r w:rsidR="00D53854" w:rsidRPr="00AB1B86">
          <w:rPr>
            <w:rStyle w:val="Hyperlink"/>
            <w:noProof/>
          </w:rPr>
          <w:t>FirstEnergy’s Plan</w:t>
        </w:r>
        <w:r w:rsidR="00D53854">
          <w:rPr>
            <w:noProof/>
            <w:webHidden/>
          </w:rPr>
          <w:tab/>
        </w:r>
        <w:r>
          <w:rPr>
            <w:noProof/>
            <w:webHidden/>
          </w:rPr>
          <w:fldChar w:fldCharType="begin"/>
        </w:r>
        <w:r w:rsidR="00D53854">
          <w:rPr>
            <w:noProof/>
            <w:webHidden/>
          </w:rPr>
          <w:instrText xml:space="preserve"> PAGEREF _Toc263848900 \h </w:instrText>
        </w:r>
        <w:r>
          <w:rPr>
            <w:noProof/>
            <w:webHidden/>
          </w:rPr>
        </w:r>
        <w:r>
          <w:rPr>
            <w:noProof/>
            <w:webHidden/>
          </w:rPr>
          <w:fldChar w:fldCharType="separate"/>
        </w:r>
        <w:r w:rsidR="001A2D70">
          <w:rPr>
            <w:noProof/>
            <w:webHidden/>
          </w:rPr>
          <w:t>52</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901" w:history="1">
        <w:r w:rsidR="00D53854" w:rsidRPr="00AB1B86">
          <w:rPr>
            <w:rStyle w:val="Hyperlink"/>
            <w:noProof/>
          </w:rPr>
          <w:t>ii.</w:t>
        </w:r>
        <w:r w:rsidR="00D53854">
          <w:rPr>
            <w:rFonts w:asciiTheme="minorHAnsi" w:eastAsiaTheme="minorEastAsia" w:hAnsiTheme="minorHAnsi" w:cstheme="minorBidi"/>
            <w:noProof/>
            <w:sz w:val="22"/>
            <w:szCs w:val="22"/>
          </w:rPr>
          <w:tab/>
        </w:r>
        <w:r w:rsidR="00D53854" w:rsidRPr="00AB1B86">
          <w:rPr>
            <w:rStyle w:val="Hyperlink"/>
            <w:noProof/>
          </w:rPr>
          <w:t>ALJ’s Recommendation</w:t>
        </w:r>
        <w:r w:rsidR="00D53854">
          <w:rPr>
            <w:noProof/>
            <w:webHidden/>
          </w:rPr>
          <w:tab/>
        </w:r>
        <w:r>
          <w:rPr>
            <w:noProof/>
            <w:webHidden/>
          </w:rPr>
          <w:fldChar w:fldCharType="begin"/>
        </w:r>
        <w:r w:rsidR="00D53854">
          <w:rPr>
            <w:noProof/>
            <w:webHidden/>
          </w:rPr>
          <w:instrText xml:space="preserve"> PAGEREF _Toc263848901 \h </w:instrText>
        </w:r>
        <w:r>
          <w:rPr>
            <w:noProof/>
            <w:webHidden/>
          </w:rPr>
        </w:r>
        <w:r>
          <w:rPr>
            <w:noProof/>
            <w:webHidden/>
          </w:rPr>
          <w:fldChar w:fldCharType="separate"/>
        </w:r>
        <w:r w:rsidR="001A2D70">
          <w:rPr>
            <w:noProof/>
            <w:webHidden/>
          </w:rPr>
          <w:t>52</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902" w:history="1">
        <w:r w:rsidR="00D53854" w:rsidRPr="00AB1B86">
          <w:rPr>
            <w:rStyle w:val="Hyperlink"/>
            <w:noProof/>
          </w:rPr>
          <w:t>iii.</w:t>
        </w:r>
        <w:r w:rsidR="00D53854">
          <w:rPr>
            <w:rFonts w:asciiTheme="minorHAnsi" w:eastAsiaTheme="minorEastAsia" w:hAnsiTheme="minorHAnsi" w:cstheme="minorBidi"/>
            <w:noProof/>
            <w:sz w:val="22"/>
            <w:szCs w:val="22"/>
          </w:rPr>
          <w:tab/>
        </w:r>
        <w:r w:rsidR="00D53854" w:rsidRPr="00AB1B86">
          <w:rPr>
            <w:rStyle w:val="Hyperlink"/>
            <w:noProof/>
          </w:rPr>
          <w:t>Positions of the Parties</w:t>
        </w:r>
        <w:r w:rsidR="00D53854">
          <w:rPr>
            <w:noProof/>
            <w:webHidden/>
          </w:rPr>
          <w:tab/>
        </w:r>
        <w:r>
          <w:rPr>
            <w:noProof/>
            <w:webHidden/>
          </w:rPr>
          <w:fldChar w:fldCharType="begin"/>
        </w:r>
        <w:r w:rsidR="00D53854">
          <w:rPr>
            <w:noProof/>
            <w:webHidden/>
          </w:rPr>
          <w:instrText xml:space="preserve"> PAGEREF _Toc263848902 \h </w:instrText>
        </w:r>
        <w:r>
          <w:rPr>
            <w:noProof/>
            <w:webHidden/>
          </w:rPr>
        </w:r>
        <w:r>
          <w:rPr>
            <w:noProof/>
            <w:webHidden/>
          </w:rPr>
          <w:fldChar w:fldCharType="separate"/>
        </w:r>
        <w:r w:rsidR="001A2D70">
          <w:rPr>
            <w:noProof/>
            <w:webHidden/>
          </w:rPr>
          <w:t>52</w:t>
        </w:r>
        <w:r>
          <w:rPr>
            <w:noProof/>
            <w:webHidden/>
          </w:rPr>
          <w:fldChar w:fldCharType="end"/>
        </w:r>
      </w:hyperlink>
    </w:p>
    <w:p w:rsidR="00D53854" w:rsidRDefault="005C5411">
      <w:pPr>
        <w:pStyle w:val="TOC5"/>
        <w:rPr>
          <w:rFonts w:asciiTheme="minorHAnsi" w:eastAsiaTheme="minorEastAsia" w:hAnsiTheme="minorHAnsi" w:cstheme="minorBidi"/>
          <w:noProof/>
          <w:sz w:val="22"/>
          <w:szCs w:val="22"/>
        </w:rPr>
      </w:pPr>
      <w:hyperlink w:anchor="_Toc263848903" w:history="1">
        <w:r w:rsidR="00D53854" w:rsidRPr="00AB1B86">
          <w:rPr>
            <w:rStyle w:val="Hyperlink"/>
            <w:noProof/>
          </w:rPr>
          <w:t>iv.</w:t>
        </w:r>
        <w:r w:rsidR="00D53854">
          <w:rPr>
            <w:rFonts w:asciiTheme="minorHAnsi" w:eastAsiaTheme="minorEastAsia" w:hAnsiTheme="minorHAnsi" w:cstheme="minorBidi"/>
            <w:noProof/>
            <w:sz w:val="22"/>
            <w:szCs w:val="22"/>
          </w:rPr>
          <w:tab/>
        </w:r>
        <w:r w:rsidR="00D53854" w:rsidRPr="00AB1B86">
          <w:rPr>
            <w:rStyle w:val="Hyperlink"/>
            <w:noProof/>
          </w:rPr>
          <w:t>Disposition</w:t>
        </w:r>
        <w:r w:rsidR="00D53854">
          <w:rPr>
            <w:noProof/>
            <w:webHidden/>
          </w:rPr>
          <w:tab/>
        </w:r>
        <w:r>
          <w:rPr>
            <w:noProof/>
            <w:webHidden/>
          </w:rPr>
          <w:fldChar w:fldCharType="begin"/>
        </w:r>
        <w:r w:rsidR="00D53854">
          <w:rPr>
            <w:noProof/>
            <w:webHidden/>
          </w:rPr>
          <w:instrText xml:space="preserve"> PAGEREF _Toc263848903 \h </w:instrText>
        </w:r>
        <w:r>
          <w:rPr>
            <w:noProof/>
            <w:webHidden/>
          </w:rPr>
        </w:r>
        <w:r>
          <w:rPr>
            <w:noProof/>
            <w:webHidden/>
          </w:rPr>
          <w:fldChar w:fldCharType="separate"/>
        </w:r>
        <w:r w:rsidR="001A2D70">
          <w:rPr>
            <w:noProof/>
            <w:webHidden/>
          </w:rPr>
          <w:t>52</w:t>
        </w:r>
        <w:r>
          <w:rPr>
            <w:noProof/>
            <w:webHidden/>
          </w:rPr>
          <w:fldChar w:fldCharType="end"/>
        </w:r>
      </w:hyperlink>
    </w:p>
    <w:p w:rsidR="00D53854" w:rsidRDefault="005C5411">
      <w:pPr>
        <w:pStyle w:val="TOC1"/>
        <w:tabs>
          <w:tab w:val="left" w:pos="720"/>
          <w:tab w:val="right" w:leader="dot" w:pos="9350"/>
        </w:tabs>
        <w:rPr>
          <w:rFonts w:asciiTheme="minorHAnsi" w:eastAsiaTheme="minorEastAsia" w:hAnsiTheme="minorHAnsi" w:cstheme="minorBidi"/>
          <w:noProof/>
          <w:sz w:val="22"/>
          <w:szCs w:val="22"/>
        </w:rPr>
      </w:pPr>
      <w:hyperlink w:anchor="_Toc263848904" w:history="1">
        <w:r w:rsidR="00D53854" w:rsidRPr="00AB1B86">
          <w:rPr>
            <w:rStyle w:val="Hyperlink"/>
            <w:noProof/>
          </w:rPr>
          <w:t xml:space="preserve">VI.  </w:t>
        </w:r>
        <w:r w:rsidR="00D53854">
          <w:rPr>
            <w:rFonts w:asciiTheme="minorHAnsi" w:eastAsiaTheme="minorEastAsia" w:hAnsiTheme="minorHAnsi" w:cstheme="minorBidi"/>
            <w:noProof/>
            <w:sz w:val="22"/>
            <w:szCs w:val="22"/>
          </w:rPr>
          <w:tab/>
        </w:r>
        <w:r w:rsidR="00D53854" w:rsidRPr="00AB1B86">
          <w:rPr>
            <w:rStyle w:val="Hyperlink"/>
            <w:noProof/>
          </w:rPr>
          <w:t>Conclusion</w:t>
        </w:r>
        <w:r w:rsidR="00D53854">
          <w:rPr>
            <w:noProof/>
            <w:webHidden/>
          </w:rPr>
          <w:tab/>
        </w:r>
        <w:r>
          <w:rPr>
            <w:noProof/>
            <w:webHidden/>
          </w:rPr>
          <w:fldChar w:fldCharType="begin"/>
        </w:r>
        <w:r w:rsidR="00D53854">
          <w:rPr>
            <w:noProof/>
            <w:webHidden/>
          </w:rPr>
          <w:instrText xml:space="preserve"> PAGEREF _Toc263848904 \h </w:instrText>
        </w:r>
        <w:r>
          <w:rPr>
            <w:noProof/>
            <w:webHidden/>
          </w:rPr>
        </w:r>
        <w:r>
          <w:rPr>
            <w:noProof/>
            <w:webHidden/>
          </w:rPr>
          <w:fldChar w:fldCharType="separate"/>
        </w:r>
        <w:r w:rsidR="001A2D70">
          <w:rPr>
            <w:noProof/>
            <w:webHidden/>
          </w:rPr>
          <w:t>53</w:t>
        </w:r>
        <w:r>
          <w:rPr>
            <w:noProof/>
            <w:webHidden/>
          </w:rPr>
          <w:fldChar w:fldCharType="end"/>
        </w:r>
      </w:hyperlink>
    </w:p>
    <w:p w:rsidR="004261E0" w:rsidRDefault="005C5411" w:rsidP="00F8320E">
      <w:pPr>
        <w:spacing w:after="200" w:line="276" w:lineRule="auto"/>
        <w:rPr>
          <w:b/>
          <w:sz w:val="26"/>
          <w:szCs w:val="26"/>
        </w:rPr>
        <w:sectPr w:rsidR="004261E0" w:rsidSect="00C34D7A">
          <w:pgSz w:w="12240" w:h="15840"/>
          <w:pgMar w:top="1440" w:right="1440" w:bottom="1440" w:left="1440" w:header="720" w:footer="720" w:gutter="0"/>
          <w:pgNumType w:fmt="lowerRoman" w:start="1"/>
          <w:cols w:space="720"/>
          <w:docGrid w:linePitch="360"/>
        </w:sectPr>
      </w:pPr>
      <w:r>
        <w:rPr>
          <w:b/>
          <w:sz w:val="26"/>
          <w:szCs w:val="26"/>
        </w:rPr>
        <w:fldChar w:fldCharType="end"/>
      </w:r>
    </w:p>
    <w:p w:rsidR="00F461A6" w:rsidRDefault="003A5D24" w:rsidP="00581D51">
      <w:pPr>
        <w:spacing w:line="360" w:lineRule="auto"/>
        <w:jc w:val="center"/>
        <w:rPr>
          <w:b/>
          <w:sz w:val="26"/>
          <w:szCs w:val="26"/>
        </w:rPr>
      </w:pPr>
      <w:r>
        <w:rPr>
          <w:b/>
          <w:sz w:val="26"/>
          <w:szCs w:val="26"/>
        </w:rPr>
        <w:lastRenderedPageBreak/>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42516213"/>
      <w:bookmarkStart w:id="1" w:name="_Toc259798192"/>
      <w:bookmarkStart w:id="2" w:name="_Toc263848824"/>
      <w:r w:rsidRPr="0056717C">
        <w:t>I.</w:t>
      </w:r>
      <w:r w:rsidR="00B6382E">
        <w:t xml:space="preserve">  </w:t>
      </w:r>
      <w:r w:rsidR="006F4B78">
        <w:tab/>
      </w:r>
      <w:r w:rsidRPr="00695B97">
        <w:t>Introduction</w:t>
      </w:r>
      <w:bookmarkEnd w:id="0"/>
      <w:bookmarkEnd w:id="1"/>
      <w:bookmarkEnd w:id="2"/>
    </w:p>
    <w:p w:rsidR="00DB1424" w:rsidRPr="00B5299B" w:rsidRDefault="00DB1424" w:rsidP="00DB1424">
      <w:pPr>
        <w:spacing w:line="360" w:lineRule="auto"/>
        <w:jc w:val="center"/>
        <w:rPr>
          <w:sz w:val="26"/>
          <w:szCs w:val="26"/>
        </w:rPr>
      </w:pPr>
    </w:p>
    <w:p w:rsidR="004933B3" w:rsidRPr="00B5299B" w:rsidRDefault="00B5299B" w:rsidP="0030275C">
      <w:pPr>
        <w:spacing w:line="360" w:lineRule="auto"/>
        <w:ind w:firstLine="1440"/>
        <w:rPr>
          <w:rFonts w:eastAsiaTheme="majorEastAsia" w:cstheme="majorBidi"/>
          <w:b/>
          <w:bCs/>
          <w:sz w:val="26"/>
          <w:szCs w:val="26"/>
        </w:rPr>
      </w:pPr>
      <w:bookmarkStart w:id="3" w:name="_Toc242516214"/>
      <w:r w:rsidRPr="00B5299B">
        <w:rPr>
          <w:sz w:val="26"/>
          <w:szCs w:val="26"/>
        </w:rPr>
        <w:t xml:space="preserve">Before the Pennsylvania Public Utility Commission (Commission) for consideration and disposition are the Initial Decision (I.D.) issued </w:t>
      </w:r>
      <w:r w:rsidR="00161478">
        <w:rPr>
          <w:sz w:val="26"/>
          <w:szCs w:val="26"/>
        </w:rPr>
        <w:t xml:space="preserve">in these proceedings </w:t>
      </w:r>
      <w:r w:rsidRPr="00B5299B">
        <w:rPr>
          <w:sz w:val="26"/>
          <w:szCs w:val="26"/>
        </w:rPr>
        <w:t>by Administrative Law Judge (ALJ)</w:t>
      </w:r>
      <w:r>
        <w:rPr>
          <w:sz w:val="26"/>
          <w:szCs w:val="26"/>
        </w:rPr>
        <w:t xml:space="preserve"> </w:t>
      </w:r>
      <w:r w:rsidR="008B4236">
        <w:rPr>
          <w:sz w:val="26"/>
          <w:szCs w:val="26"/>
        </w:rPr>
        <w:t>Susan D. Colwell on January 28, 2010</w:t>
      </w:r>
      <w:r w:rsidR="00512F82">
        <w:rPr>
          <w:sz w:val="26"/>
          <w:szCs w:val="26"/>
        </w:rPr>
        <w:t>, and the Exceptions filed with respect thereto</w:t>
      </w:r>
      <w:r w:rsidR="008B4236">
        <w:rPr>
          <w:sz w:val="26"/>
          <w:szCs w:val="26"/>
        </w:rPr>
        <w:t>.</w:t>
      </w:r>
      <w:r w:rsidR="00EE1C47">
        <w:rPr>
          <w:sz w:val="26"/>
          <w:szCs w:val="26"/>
        </w:rPr>
        <w:t xml:space="preserve">  Specifically, Exceptions have been filed by M</w:t>
      </w:r>
      <w:r w:rsidR="00512F82">
        <w:rPr>
          <w:sz w:val="26"/>
          <w:szCs w:val="26"/>
        </w:rPr>
        <w:t>etropolitan Edison Company (Met-</w:t>
      </w:r>
      <w:r w:rsidR="00EE1C47">
        <w:rPr>
          <w:sz w:val="26"/>
          <w:szCs w:val="26"/>
        </w:rPr>
        <w:t>Ed), Pennsylvania Electric Company (Penelec) and Pennsylvania Power Company (P</w:t>
      </w:r>
      <w:r w:rsidR="00B55DC4">
        <w:rPr>
          <w:sz w:val="26"/>
          <w:szCs w:val="26"/>
        </w:rPr>
        <w:t>enn Power) (collectively, First</w:t>
      </w:r>
      <w:r w:rsidR="00EE1C47">
        <w:rPr>
          <w:sz w:val="26"/>
          <w:szCs w:val="26"/>
        </w:rPr>
        <w:t>Energy or the</w:t>
      </w:r>
      <w:r w:rsidR="00EE1C47" w:rsidRPr="00764E09">
        <w:rPr>
          <w:sz w:val="26"/>
          <w:szCs w:val="26"/>
        </w:rPr>
        <w:t xml:space="preserve"> Companies</w:t>
      </w:r>
      <w:r w:rsidR="00EE1C47">
        <w:rPr>
          <w:sz w:val="26"/>
          <w:szCs w:val="26"/>
        </w:rPr>
        <w:t xml:space="preserve">); the Pennsylvania Department of Environmental Protection (DEP); the Office of Consumer Advocate (OCA); and the Office of Trial Staff (OTS).  Reply Exceptions have been filed by </w:t>
      </w:r>
      <w:r w:rsidR="00981724">
        <w:rPr>
          <w:sz w:val="26"/>
          <w:szCs w:val="26"/>
        </w:rPr>
        <w:t>the Met-E</w:t>
      </w:r>
      <w:r w:rsidR="00F527E8">
        <w:rPr>
          <w:sz w:val="26"/>
          <w:szCs w:val="26"/>
        </w:rPr>
        <w:t>d Industrial Users Group</w:t>
      </w:r>
      <w:r w:rsidR="00981724">
        <w:rPr>
          <w:sz w:val="26"/>
          <w:szCs w:val="26"/>
        </w:rPr>
        <w:t>, the Penelec Industrial Customer Alliance and the Penn</w:t>
      </w:r>
      <w:r w:rsidR="00F527E8">
        <w:rPr>
          <w:sz w:val="26"/>
          <w:szCs w:val="26"/>
        </w:rPr>
        <w:t xml:space="preserve"> Power Users Group </w:t>
      </w:r>
      <w:r w:rsidR="00981724">
        <w:rPr>
          <w:sz w:val="26"/>
          <w:szCs w:val="26"/>
        </w:rPr>
        <w:t xml:space="preserve">(collectively, MEIUG </w:t>
      </w:r>
      <w:r w:rsidR="00981724" w:rsidRPr="00736545">
        <w:rPr>
          <w:i/>
          <w:sz w:val="26"/>
          <w:szCs w:val="26"/>
        </w:rPr>
        <w:t>et al</w:t>
      </w:r>
      <w:r w:rsidR="00981724">
        <w:rPr>
          <w:sz w:val="26"/>
          <w:szCs w:val="26"/>
        </w:rPr>
        <w:t xml:space="preserve">.); </w:t>
      </w:r>
      <w:r w:rsidR="00066031">
        <w:rPr>
          <w:sz w:val="26"/>
          <w:szCs w:val="26"/>
        </w:rPr>
        <w:t xml:space="preserve">the </w:t>
      </w:r>
      <w:r w:rsidR="00EE1C47">
        <w:rPr>
          <w:sz w:val="26"/>
          <w:szCs w:val="26"/>
        </w:rPr>
        <w:t>OTS</w:t>
      </w:r>
      <w:r w:rsidR="00981724">
        <w:rPr>
          <w:sz w:val="26"/>
          <w:szCs w:val="26"/>
        </w:rPr>
        <w:t xml:space="preserve">; </w:t>
      </w:r>
      <w:r w:rsidR="00066031">
        <w:rPr>
          <w:sz w:val="26"/>
          <w:szCs w:val="26"/>
        </w:rPr>
        <w:t xml:space="preserve">the </w:t>
      </w:r>
      <w:r w:rsidR="00981724">
        <w:rPr>
          <w:sz w:val="26"/>
          <w:szCs w:val="26"/>
        </w:rPr>
        <w:t xml:space="preserve">OCA; </w:t>
      </w:r>
      <w:r w:rsidR="00684039">
        <w:rPr>
          <w:sz w:val="26"/>
          <w:szCs w:val="26"/>
        </w:rPr>
        <w:t xml:space="preserve">the Companies; </w:t>
      </w:r>
      <w:r w:rsidR="00981724">
        <w:rPr>
          <w:sz w:val="26"/>
          <w:szCs w:val="26"/>
        </w:rPr>
        <w:t xml:space="preserve">and </w:t>
      </w:r>
      <w:r w:rsidR="00EE1C47">
        <w:rPr>
          <w:sz w:val="26"/>
          <w:szCs w:val="26"/>
        </w:rPr>
        <w:t xml:space="preserve">the </w:t>
      </w:r>
      <w:r w:rsidR="00981724">
        <w:rPr>
          <w:sz w:val="26"/>
          <w:szCs w:val="26"/>
        </w:rPr>
        <w:t>O</w:t>
      </w:r>
      <w:r w:rsidR="00EE1C47">
        <w:rPr>
          <w:sz w:val="26"/>
          <w:szCs w:val="26"/>
        </w:rPr>
        <w:t>ffice of Small Business Advocate (OSBA)</w:t>
      </w:r>
      <w:r w:rsidR="00981724">
        <w:rPr>
          <w:sz w:val="26"/>
          <w:szCs w:val="26"/>
        </w:rPr>
        <w:t xml:space="preserve">. </w:t>
      </w:r>
      <w:r w:rsidR="00B07350">
        <w:rPr>
          <w:sz w:val="26"/>
          <w:szCs w:val="26"/>
        </w:rPr>
        <w:t xml:space="preserve">For the reasons set </w:t>
      </w:r>
      <w:r w:rsidR="00F527E8">
        <w:rPr>
          <w:sz w:val="26"/>
          <w:szCs w:val="26"/>
        </w:rPr>
        <w:t>forth herein, we will adopt the ALJ’s Initial Decision, as modified by this Opinion and Order</w:t>
      </w:r>
      <w:r w:rsidR="00B07350">
        <w:rPr>
          <w:sz w:val="26"/>
          <w:szCs w:val="26"/>
        </w:rPr>
        <w:t>.</w:t>
      </w:r>
      <w:r w:rsidR="004933B3" w:rsidRPr="00B5299B">
        <w:rPr>
          <w:sz w:val="26"/>
          <w:szCs w:val="26"/>
        </w:rPr>
        <w:br w:type="page"/>
      </w:r>
    </w:p>
    <w:p w:rsidR="00B830F4" w:rsidRDefault="00B6382E" w:rsidP="00DD22A6">
      <w:pPr>
        <w:pStyle w:val="Heading1"/>
        <w:rPr>
          <w:szCs w:val="26"/>
        </w:rPr>
      </w:pPr>
      <w:bookmarkStart w:id="4" w:name="_Toc259798193"/>
      <w:bookmarkStart w:id="5" w:name="_Toc263848825"/>
      <w:r>
        <w:rPr>
          <w:szCs w:val="26"/>
        </w:rPr>
        <w:lastRenderedPageBreak/>
        <w:t xml:space="preserve">II.  </w:t>
      </w:r>
      <w:r w:rsidR="006F4B78">
        <w:rPr>
          <w:szCs w:val="26"/>
        </w:rPr>
        <w:tab/>
      </w:r>
      <w:bookmarkEnd w:id="3"/>
      <w:r w:rsidR="00020830">
        <w:rPr>
          <w:szCs w:val="26"/>
        </w:rPr>
        <w:t>Background</w:t>
      </w:r>
      <w:bookmarkEnd w:id="4"/>
      <w:bookmarkEnd w:id="5"/>
    </w:p>
    <w:p w:rsidR="00DD22A6" w:rsidRDefault="00DD22A6" w:rsidP="00F15DBB">
      <w:pPr>
        <w:spacing w:line="360" w:lineRule="auto"/>
        <w:ind w:firstLine="1440"/>
        <w:rPr>
          <w:sz w:val="26"/>
          <w:szCs w:val="26"/>
        </w:rPr>
      </w:pPr>
    </w:p>
    <w:p w:rsidR="008A43E2" w:rsidRDefault="008A43E2" w:rsidP="008A43E2">
      <w:pPr>
        <w:pStyle w:val="Heading2"/>
      </w:pPr>
      <w:bookmarkStart w:id="6" w:name="_Toc259798194"/>
      <w:bookmarkStart w:id="7" w:name="_Toc263848826"/>
      <w:r>
        <w:t>A.</w:t>
      </w:r>
      <w:r>
        <w:tab/>
        <w:t>Act 129</w:t>
      </w:r>
      <w:bookmarkEnd w:id="6"/>
      <w:bookmarkEnd w:id="7"/>
    </w:p>
    <w:p w:rsidR="008A43E2" w:rsidRDefault="008A43E2" w:rsidP="0065303B">
      <w:pPr>
        <w:pStyle w:val="p3"/>
        <w:widowControl/>
        <w:tabs>
          <w:tab w:val="clear" w:pos="204"/>
        </w:tabs>
        <w:spacing w:line="360" w:lineRule="auto"/>
        <w:ind w:firstLine="1440"/>
        <w:rPr>
          <w:sz w:val="26"/>
        </w:rPr>
      </w:pPr>
    </w:p>
    <w:p w:rsidR="0065303B" w:rsidRDefault="0065303B" w:rsidP="0065303B">
      <w:pPr>
        <w:pStyle w:val="p3"/>
        <w:widowControl/>
        <w:tabs>
          <w:tab w:val="clear" w:pos="204"/>
        </w:tabs>
        <w:spacing w:line="360" w:lineRule="auto"/>
        <w:ind w:firstLine="1440"/>
        <w:rPr>
          <w:sz w:val="26"/>
        </w:rPr>
      </w:pPr>
      <w:r w:rsidRPr="00920883">
        <w:rPr>
          <w:sz w:val="26"/>
        </w:rPr>
        <w:t xml:space="preserve">Governor Edward </w:t>
      </w:r>
      <w:r w:rsidR="00EF2F31">
        <w:rPr>
          <w:sz w:val="26"/>
        </w:rPr>
        <w:t xml:space="preserve">G. </w:t>
      </w:r>
      <w:r w:rsidRPr="00920883">
        <w:rPr>
          <w:sz w:val="26"/>
        </w:rPr>
        <w:t xml:space="preserve">Rendell signed Act 129 </w:t>
      </w:r>
      <w:r w:rsidR="00EF2F31">
        <w:rPr>
          <w:sz w:val="26"/>
        </w:rPr>
        <w:t>of 2008 (the Act</w:t>
      </w:r>
      <w:r w:rsidRPr="00920883">
        <w:rPr>
          <w:sz w:val="26"/>
        </w:rPr>
        <w:t xml:space="preserve"> or Act 129) into law on October </w:t>
      </w:r>
      <w:r w:rsidR="005974D8">
        <w:rPr>
          <w:sz w:val="26"/>
        </w:rPr>
        <w:t xml:space="preserve">15, 2008. </w:t>
      </w:r>
      <w:r w:rsidR="00B07350">
        <w:rPr>
          <w:sz w:val="26"/>
        </w:rPr>
        <w:t xml:space="preserve"> </w:t>
      </w:r>
      <w:r w:rsidR="005974D8">
        <w:rPr>
          <w:sz w:val="26"/>
        </w:rPr>
        <w:t>The Act took effect thirty</w:t>
      </w:r>
      <w:r w:rsidRPr="00920883">
        <w:rPr>
          <w:sz w:val="26"/>
        </w:rPr>
        <w:t xml:space="preserve"> days thereafter on November 14, 2008.  Among other things, the Act specifically directed that</w:t>
      </w:r>
      <w:r w:rsidR="000F1824">
        <w:rPr>
          <w:sz w:val="26"/>
        </w:rPr>
        <w:t xml:space="preserve"> </w:t>
      </w:r>
      <w:r w:rsidRPr="00920883">
        <w:rPr>
          <w:sz w:val="26"/>
        </w:rPr>
        <w:t>el</w:t>
      </w:r>
      <w:r w:rsidR="00EF2F31">
        <w:rPr>
          <w:sz w:val="26"/>
        </w:rPr>
        <w:t>ectric distribution companies (</w:t>
      </w:r>
      <w:r w:rsidRPr="00920883">
        <w:rPr>
          <w:sz w:val="26"/>
        </w:rPr>
        <w:t>EDCs)</w:t>
      </w:r>
      <w:r w:rsidR="000F1824">
        <w:rPr>
          <w:sz w:val="26"/>
        </w:rPr>
        <w:t xml:space="preserve"> with at least 100,000 customers</w:t>
      </w:r>
      <w:r w:rsidRPr="00920883">
        <w:rPr>
          <w:sz w:val="26"/>
        </w:rPr>
        <w:t xml:space="preserve"> file, with the Commission for approval, a smart meter technology procurement and installation plan. 66 Pa. C.S. §</w:t>
      </w:r>
      <w:r>
        <w:rPr>
          <w:sz w:val="26"/>
        </w:rPr>
        <w:t> </w:t>
      </w:r>
      <w:r w:rsidR="00367A78">
        <w:rPr>
          <w:sz w:val="26"/>
        </w:rPr>
        <w:t xml:space="preserve">2807(f)(1).  </w:t>
      </w:r>
      <w:r w:rsidR="000F1824">
        <w:rPr>
          <w:sz w:val="26"/>
        </w:rPr>
        <w:t xml:space="preserve">These plans </w:t>
      </w:r>
      <w:r w:rsidR="00B07350">
        <w:rPr>
          <w:sz w:val="26"/>
        </w:rPr>
        <w:t xml:space="preserve">were to be </w:t>
      </w:r>
      <w:r w:rsidR="000F1824">
        <w:rPr>
          <w:sz w:val="26"/>
        </w:rPr>
        <w:t>filed by August 14, 2009</w:t>
      </w:r>
      <w:r w:rsidR="00536A11">
        <w:rPr>
          <w:sz w:val="26"/>
        </w:rPr>
        <w:t xml:space="preserve">.  Each plan </w:t>
      </w:r>
      <w:r w:rsidR="00B07350">
        <w:rPr>
          <w:sz w:val="26"/>
        </w:rPr>
        <w:t>wa</w:t>
      </w:r>
      <w:r w:rsidR="00536A11">
        <w:rPr>
          <w:sz w:val="26"/>
        </w:rPr>
        <w:t>s</w:t>
      </w:r>
      <w:r w:rsidR="00B07350">
        <w:rPr>
          <w:sz w:val="26"/>
        </w:rPr>
        <w:t xml:space="preserve"> </w:t>
      </w:r>
      <w:r w:rsidR="00536A11">
        <w:rPr>
          <w:sz w:val="26"/>
        </w:rPr>
        <w:t>t</w:t>
      </w:r>
      <w:r w:rsidR="00B07350">
        <w:rPr>
          <w:sz w:val="26"/>
        </w:rPr>
        <w:t>o</w:t>
      </w:r>
      <w:r w:rsidR="00536A11">
        <w:rPr>
          <w:sz w:val="26"/>
        </w:rPr>
        <w:t xml:space="preserve"> </w:t>
      </w:r>
      <w:r w:rsidRPr="00920883">
        <w:rPr>
          <w:sz w:val="26"/>
        </w:rPr>
        <w:t>describe the smart meter technologies the EDC proposes to install, upon request from a customer at the customer’s expense, in new construction</w:t>
      </w:r>
      <w:r w:rsidR="004D7A83">
        <w:rPr>
          <w:sz w:val="26"/>
        </w:rPr>
        <w:t>,</w:t>
      </w:r>
      <w:r w:rsidRPr="00920883">
        <w:rPr>
          <w:sz w:val="26"/>
        </w:rPr>
        <w:t xml:space="preserve"> and in accordance with a depreciation schedule not to exceed 15 years.  66 Pa. C.S. §§ 2807(f)(1) an</w:t>
      </w:r>
      <w:r w:rsidR="00B07350">
        <w:rPr>
          <w:sz w:val="26"/>
        </w:rPr>
        <w:t>d (2).  The Act also established</w:t>
      </w:r>
      <w:r w:rsidRPr="00920883">
        <w:rPr>
          <w:sz w:val="26"/>
        </w:rPr>
        <w:t xml:space="preserve"> </w:t>
      </w:r>
      <w:r>
        <w:rPr>
          <w:sz w:val="26"/>
        </w:rPr>
        <w:t>a requirement for EDCs to make available to third parties</w:t>
      </w:r>
      <w:r w:rsidR="00B07350">
        <w:rPr>
          <w:sz w:val="26"/>
        </w:rPr>
        <w:t>, upon customer consent,</w:t>
      </w:r>
      <w:r>
        <w:rPr>
          <w:sz w:val="26"/>
        </w:rPr>
        <w:t xml:space="preserve"> direct </w:t>
      </w:r>
      <w:r w:rsidRPr="00920883">
        <w:rPr>
          <w:sz w:val="26"/>
        </w:rPr>
        <w:t>meter</w:t>
      </w:r>
      <w:r>
        <w:rPr>
          <w:sz w:val="26"/>
        </w:rPr>
        <w:t xml:space="preserve"> access</w:t>
      </w:r>
      <w:r w:rsidRPr="00920883">
        <w:rPr>
          <w:sz w:val="26"/>
        </w:rPr>
        <w:t xml:space="preserve"> and </w:t>
      </w:r>
      <w:r>
        <w:rPr>
          <w:sz w:val="26"/>
        </w:rPr>
        <w:t xml:space="preserve">electronic access to </w:t>
      </w:r>
      <w:r w:rsidR="00B07350">
        <w:rPr>
          <w:sz w:val="26"/>
        </w:rPr>
        <w:t>meter data</w:t>
      </w:r>
      <w:r w:rsidRPr="00920883">
        <w:rPr>
          <w:sz w:val="26"/>
        </w:rPr>
        <w:t>.  66 Pa. C.S. § 2807(f)(3).  The Act further define</w:t>
      </w:r>
      <w:r w:rsidR="00B07350">
        <w:rPr>
          <w:sz w:val="26"/>
        </w:rPr>
        <w:t>d</w:t>
      </w:r>
      <w:r w:rsidRPr="00920883">
        <w:rPr>
          <w:sz w:val="26"/>
        </w:rPr>
        <w:t xml:space="preserve"> minimum s</w:t>
      </w:r>
      <w:r>
        <w:rPr>
          <w:sz w:val="26"/>
        </w:rPr>
        <w:t>m</w:t>
      </w:r>
      <w:r w:rsidRPr="00920883">
        <w:rPr>
          <w:sz w:val="26"/>
        </w:rPr>
        <w:t xml:space="preserve">art meter technology capabilities.  66 Pa. C.S. </w:t>
      </w:r>
      <w:r w:rsidR="00B07350">
        <w:rPr>
          <w:sz w:val="26"/>
        </w:rPr>
        <w:br/>
      </w:r>
      <w:r w:rsidRPr="00920883">
        <w:rPr>
          <w:sz w:val="26"/>
        </w:rPr>
        <w:t>§ 2807(g).  Finally, the Act establishe</w:t>
      </w:r>
      <w:r w:rsidR="00B07350">
        <w:rPr>
          <w:sz w:val="26"/>
        </w:rPr>
        <w:t>d</w:t>
      </w:r>
      <w:r w:rsidRPr="00920883">
        <w:rPr>
          <w:sz w:val="26"/>
        </w:rPr>
        <w:t xml:space="preserve"> acceptable cost recovery methods.  66 Pa. C.S. </w:t>
      </w:r>
      <w:r w:rsidR="00C656CD">
        <w:rPr>
          <w:sz w:val="26"/>
        </w:rPr>
        <w:br/>
      </w:r>
      <w:r w:rsidRPr="00920883">
        <w:rPr>
          <w:sz w:val="26"/>
        </w:rPr>
        <w:t>§ 2807(7).</w:t>
      </w:r>
    </w:p>
    <w:p w:rsidR="0065303B" w:rsidRDefault="0065303B" w:rsidP="0065303B">
      <w:pPr>
        <w:pStyle w:val="p3"/>
        <w:widowControl/>
        <w:tabs>
          <w:tab w:val="clear" w:pos="204"/>
        </w:tabs>
        <w:spacing w:line="360" w:lineRule="auto"/>
        <w:rPr>
          <w:sz w:val="26"/>
        </w:rPr>
      </w:pPr>
    </w:p>
    <w:p w:rsidR="0065303B" w:rsidRDefault="0065303B" w:rsidP="004D7A83">
      <w:pPr>
        <w:pStyle w:val="p3"/>
        <w:widowControl/>
        <w:tabs>
          <w:tab w:val="clear" w:pos="204"/>
        </w:tabs>
        <w:spacing w:line="360" w:lineRule="auto"/>
        <w:ind w:firstLine="1440"/>
        <w:rPr>
          <w:sz w:val="26"/>
        </w:rPr>
      </w:pPr>
      <w:r>
        <w:rPr>
          <w:sz w:val="26"/>
        </w:rPr>
        <w:t xml:space="preserve">On March 30, 2009, the Commission issued a Secretarial Letter seeking comments on a draft staff proposal and additional questions regarding EDC smart meter procurement and installation.  </w:t>
      </w:r>
      <w:r w:rsidR="004D7A83">
        <w:rPr>
          <w:sz w:val="26"/>
        </w:rPr>
        <w:t xml:space="preserve">On June 24, 2009, the Commission </w:t>
      </w:r>
      <w:r w:rsidR="00367A78">
        <w:rPr>
          <w:sz w:val="26"/>
        </w:rPr>
        <w:t xml:space="preserve">outlined </w:t>
      </w:r>
      <w:r w:rsidR="00016010">
        <w:rPr>
          <w:sz w:val="26"/>
        </w:rPr>
        <w:t xml:space="preserve">the standards each </w:t>
      </w:r>
      <w:r w:rsidR="00367A78">
        <w:rPr>
          <w:sz w:val="26"/>
        </w:rPr>
        <w:t xml:space="preserve">smart meter </w:t>
      </w:r>
      <w:r w:rsidR="00016010">
        <w:rPr>
          <w:sz w:val="26"/>
        </w:rPr>
        <w:t xml:space="preserve">plan must meet and provided guidance on the procedures to be followed for submittal, review and approval of all aspects of each smart meter plan.  </w:t>
      </w:r>
      <w:r w:rsidR="004D7A83" w:rsidRPr="00016010">
        <w:rPr>
          <w:i/>
          <w:sz w:val="26"/>
        </w:rPr>
        <w:t>Smart Meter Procurement and Installation</w:t>
      </w:r>
      <w:r w:rsidR="004D7A83">
        <w:rPr>
          <w:sz w:val="26"/>
        </w:rPr>
        <w:t xml:space="preserve">, Docket No. </w:t>
      </w:r>
      <w:r w:rsidR="00016010">
        <w:rPr>
          <w:sz w:val="26"/>
        </w:rPr>
        <w:t>M-2009-2092655 (</w:t>
      </w:r>
      <w:r w:rsidR="00016010">
        <w:rPr>
          <w:i/>
          <w:sz w:val="26"/>
        </w:rPr>
        <w:t>Implementation Order</w:t>
      </w:r>
      <w:r w:rsidR="00016010">
        <w:rPr>
          <w:sz w:val="26"/>
        </w:rPr>
        <w:t xml:space="preserve">).  </w:t>
      </w:r>
    </w:p>
    <w:p w:rsidR="008A43E2" w:rsidRDefault="008A43E2" w:rsidP="004D7A83">
      <w:pPr>
        <w:pStyle w:val="p3"/>
        <w:widowControl/>
        <w:tabs>
          <w:tab w:val="clear" w:pos="204"/>
        </w:tabs>
        <w:spacing w:line="360" w:lineRule="auto"/>
        <w:ind w:firstLine="1440"/>
        <w:rPr>
          <w:sz w:val="26"/>
        </w:rPr>
      </w:pPr>
    </w:p>
    <w:p w:rsidR="006903A1" w:rsidRDefault="006903A1">
      <w:pPr>
        <w:spacing w:after="200" w:line="276" w:lineRule="auto"/>
        <w:rPr>
          <w:rFonts w:eastAsiaTheme="majorEastAsia" w:cstheme="majorBidi"/>
          <w:b/>
          <w:bCs/>
          <w:sz w:val="26"/>
          <w:szCs w:val="26"/>
        </w:rPr>
      </w:pPr>
      <w:r>
        <w:br w:type="page"/>
      </w:r>
    </w:p>
    <w:p w:rsidR="008A43E2" w:rsidRPr="00367A78" w:rsidRDefault="008A43E2" w:rsidP="008A43E2">
      <w:pPr>
        <w:pStyle w:val="Heading2"/>
      </w:pPr>
      <w:bookmarkStart w:id="8" w:name="_Toc259798195"/>
      <w:bookmarkStart w:id="9" w:name="_Toc263848827"/>
      <w:r>
        <w:lastRenderedPageBreak/>
        <w:t>B.</w:t>
      </w:r>
      <w:r>
        <w:tab/>
        <w:t>The Companies</w:t>
      </w:r>
      <w:bookmarkEnd w:id="8"/>
      <w:bookmarkEnd w:id="9"/>
    </w:p>
    <w:p w:rsidR="005B3EBF" w:rsidRDefault="005B3EBF" w:rsidP="00F15DBB">
      <w:pPr>
        <w:spacing w:line="360" w:lineRule="auto"/>
        <w:ind w:firstLine="1440"/>
        <w:rPr>
          <w:sz w:val="26"/>
          <w:szCs w:val="26"/>
        </w:rPr>
      </w:pPr>
    </w:p>
    <w:p w:rsidR="008A43E2" w:rsidRDefault="00B55DC4" w:rsidP="00F15DBB">
      <w:pPr>
        <w:spacing w:line="360" w:lineRule="auto"/>
        <w:ind w:firstLine="1440"/>
        <w:rPr>
          <w:sz w:val="26"/>
          <w:szCs w:val="26"/>
        </w:rPr>
      </w:pPr>
      <w:r>
        <w:rPr>
          <w:sz w:val="26"/>
          <w:szCs w:val="26"/>
        </w:rPr>
        <w:t>Met-Ed</w:t>
      </w:r>
      <w:r w:rsidR="008A43E2">
        <w:rPr>
          <w:sz w:val="26"/>
          <w:szCs w:val="26"/>
        </w:rPr>
        <w:t xml:space="preserve"> is a wholly-owned subsidiary of </w:t>
      </w:r>
      <w:r w:rsidR="00DD2B7B">
        <w:rPr>
          <w:sz w:val="26"/>
          <w:szCs w:val="26"/>
        </w:rPr>
        <w:t>FirstEnergy</w:t>
      </w:r>
      <w:r w:rsidR="008A43E2">
        <w:rPr>
          <w:sz w:val="26"/>
          <w:szCs w:val="26"/>
        </w:rPr>
        <w:t xml:space="preserve"> Corp.  It serves about 549,000 electric utility customers over approximately 3,300 square miles in </w:t>
      </w:r>
      <w:r w:rsidR="00910218">
        <w:rPr>
          <w:sz w:val="26"/>
          <w:szCs w:val="26"/>
        </w:rPr>
        <w:t xml:space="preserve">southern and southeastern </w:t>
      </w:r>
      <w:r w:rsidR="008A43E2">
        <w:rPr>
          <w:sz w:val="26"/>
          <w:szCs w:val="26"/>
        </w:rPr>
        <w:t>Pennsylvania.  Approximately 88% of its customers are residential</w:t>
      </w:r>
      <w:r w:rsidR="00910218">
        <w:rPr>
          <w:sz w:val="26"/>
          <w:szCs w:val="26"/>
        </w:rPr>
        <w:t xml:space="preserve"> customers </w:t>
      </w:r>
      <w:r w:rsidR="008A43E2">
        <w:rPr>
          <w:sz w:val="26"/>
          <w:szCs w:val="26"/>
        </w:rPr>
        <w:t xml:space="preserve">and about </w:t>
      </w:r>
      <w:r w:rsidR="00D90FF7">
        <w:rPr>
          <w:sz w:val="26"/>
          <w:szCs w:val="26"/>
        </w:rPr>
        <w:t>11% are commercial customers</w:t>
      </w:r>
      <w:r w:rsidR="008A43E2">
        <w:rPr>
          <w:sz w:val="26"/>
          <w:szCs w:val="26"/>
        </w:rPr>
        <w:t xml:space="preserve">.  </w:t>
      </w:r>
      <w:r>
        <w:rPr>
          <w:sz w:val="26"/>
          <w:szCs w:val="26"/>
        </w:rPr>
        <w:t>FirstEnergy</w:t>
      </w:r>
      <w:r w:rsidR="008A43E2">
        <w:rPr>
          <w:sz w:val="26"/>
          <w:szCs w:val="26"/>
        </w:rPr>
        <w:t xml:space="preserve"> St. No. 1 at 4.</w:t>
      </w:r>
    </w:p>
    <w:p w:rsidR="008A43E2" w:rsidRDefault="008A43E2" w:rsidP="00F15DBB">
      <w:pPr>
        <w:spacing w:line="360" w:lineRule="auto"/>
        <w:ind w:firstLine="1440"/>
        <w:rPr>
          <w:sz w:val="26"/>
          <w:szCs w:val="26"/>
        </w:rPr>
      </w:pPr>
    </w:p>
    <w:p w:rsidR="008A43E2" w:rsidRDefault="008A43E2" w:rsidP="00F15DBB">
      <w:pPr>
        <w:spacing w:line="360" w:lineRule="auto"/>
        <w:ind w:firstLine="1440"/>
        <w:rPr>
          <w:sz w:val="26"/>
          <w:szCs w:val="26"/>
        </w:rPr>
      </w:pPr>
      <w:r>
        <w:rPr>
          <w:sz w:val="26"/>
          <w:szCs w:val="26"/>
        </w:rPr>
        <w:t xml:space="preserve">Penelec is a wholly-owned subsidiary of </w:t>
      </w:r>
      <w:r w:rsidR="00DD2B7B">
        <w:rPr>
          <w:sz w:val="26"/>
          <w:szCs w:val="26"/>
        </w:rPr>
        <w:t>FirstEnergy</w:t>
      </w:r>
      <w:r>
        <w:rPr>
          <w:sz w:val="26"/>
          <w:szCs w:val="26"/>
        </w:rPr>
        <w:t xml:space="preserve"> Corp.  It se</w:t>
      </w:r>
      <w:r w:rsidR="00D90FF7">
        <w:rPr>
          <w:sz w:val="26"/>
          <w:szCs w:val="26"/>
        </w:rPr>
        <w:t xml:space="preserve">rves about 589,000 customers over approximately 17,600 square miles in </w:t>
      </w:r>
      <w:r w:rsidR="00910218">
        <w:rPr>
          <w:sz w:val="26"/>
          <w:szCs w:val="26"/>
        </w:rPr>
        <w:t xml:space="preserve">northern, northwest, and central </w:t>
      </w:r>
      <w:r w:rsidR="00D90FF7">
        <w:rPr>
          <w:sz w:val="26"/>
          <w:szCs w:val="26"/>
        </w:rPr>
        <w:t xml:space="preserve">Pennsylvania.  Approximately 86% of its customers are residential </w:t>
      </w:r>
      <w:r w:rsidR="00910218">
        <w:rPr>
          <w:sz w:val="26"/>
          <w:szCs w:val="26"/>
        </w:rPr>
        <w:t xml:space="preserve">customers </w:t>
      </w:r>
      <w:r w:rsidR="00D90FF7">
        <w:rPr>
          <w:sz w:val="26"/>
          <w:szCs w:val="26"/>
        </w:rPr>
        <w:t xml:space="preserve">and about 13% are commercial customers.  </w:t>
      </w:r>
      <w:r w:rsidR="00B55DC4">
        <w:rPr>
          <w:sz w:val="26"/>
          <w:szCs w:val="26"/>
        </w:rPr>
        <w:t>FirstEnergy</w:t>
      </w:r>
      <w:r w:rsidR="00D90FF7">
        <w:rPr>
          <w:sz w:val="26"/>
          <w:szCs w:val="26"/>
        </w:rPr>
        <w:t xml:space="preserve"> St. No. 1 at 4.</w:t>
      </w:r>
    </w:p>
    <w:p w:rsidR="00D90FF7" w:rsidRDefault="00D90FF7" w:rsidP="00F15DBB">
      <w:pPr>
        <w:spacing w:line="360" w:lineRule="auto"/>
        <w:ind w:firstLine="1440"/>
        <w:rPr>
          <w:sz w:val="26"/>
          <w:szCs w:val="26"/>
        </w:rPr>
      </w:pPr>
    </w:p>
    <w:p w:rsidR="00D90FF7" w:rsidRDefault="00D90FF7" w:rsidP="00F15DBB">
      <w:pPr>
        <w:spacing w:line="360" w:lineRule="auto"/>
        <w:ind w:firstLine="1440"/>
        <w:rPr>
          <w:sz w:val="26"/>
          <w:szCs w:val="26"/>
        </w:rPr>
      </w:pPr>
      <w:r>
        <w:rPr>
          <w:sz w:val="26"/>
          <w:szCs w:val="26"/>
        </w:rPr>
        <w:t xml:space="preserve">Penn Power is a wholly-owned subsidiary of Ohio Edison Company, which is, in turn, a wholly-owned subsidiary of </w:t>
      </w:r>
      <w:r w:rsidR="00B55DC4">
        <w:rPr>
          <w:sz w:val="26"/>
          <w:szCs w:val="26"/>
        </w:rPr>
        <w:t>FirstEnergy</w:t>
      </w:r>
      <w:r>
        <w:rPr>
          <w:sz w:val="26"/>
          <w:szCs w:val="26"/>
        </w:rPr>
        <w:t xml:space="preserve"> Corp.  Penn Power serve</w:t>
      </w:r>
      <w:r w:rsidR="00910218">
        <w:rPr>
          <w:sz w:val="26"/>
          <w:szCs w:val="26"/>
        </w:rPr>
        <w:t>s</w:t>
      </w:r>
      <w:r>
        <w:rPr>
          <w:sz w:val="26"/>
          <w:szCs w:val="26"/>
        </w:rPr>
        <w:t xml:space="preserve"> about 159,000 customers over approximately 1,100 square miles in </w:t>
      </w:r>
      <w:r w:rsidR="00910218">
        <w:rPr>
          <w:sz w:val="26"/>
          <w:szCs w:val="26"/>
        </w:rPr>
        <w:t xml:space="preserve">western </w:t>
      </w:r>
      <w:r>
        <w:rPr>
          <w:sz w:val="26"/>
          <w:szCs w:val="26"/>
        </w:rPr>
        <w:t xml:space="preserve">Pennsylvania.  Approximately 87% of its customers are residential </w:t>
      </w:r>
      <w:r w:rsidR="006903A1">
        <w:rPr>
          <w:sz w:val="26"/>
          <w:szCs w:val="26"/>
        </w:rPr>
        <w:t xml:space="preserve">customers </w:t>
      </w:r>
      <w:r>
        <w:rPr>
          <w:sz w:val="26"/>
          <w:szCs w:val="26"/>
        </w:rPr>
        <w:t xml:space="preserve">and about 12% are commercial customers.  </w:t>
      </w:r>
      <w:r w:rsidR="00B55DC4">
        <w:rPr>
          <w:sz w:val="26"/>
          <w:szCs w:val="26"/>
        </w:rPr>
        <w:t>FirstEnergy</w:t>
      </w:r>
      <w:r>
        <w:rPr>
          <w:sz w:val="26"/>
          <w:szCs w:val="26"/>
        </w:rPr>
        <w:t xml:space="preserve"> St. No. 1 at 5.  </w:t>
      </w:r>
    </w:p>
    <w:p w:rsidR="008A43E2" w:rsidRDefault="008A43E2" w:rsidP="00F15DBB">
      <w:pPr>
        <w:spacing w:line="360" w:lineRule="auto"/>
        <w:ind w:firstLine="1440"/>
        <w:rPr>
          <w:sz w:val="26"/>
          <w:szCs w:val="26"/>
        </w:rPr>
      </w:pPr>
    </w:p>
    <w:p w:rsidR="00884BB4" w:rsidRDefault="00884BB4">
      <w:pPr>
        <w:spacing w:after="200" w:line="276" w:lineRule="auto"/>
        <w:rPr>
          <w:rFonts w:eastAsiaTheme="majorEastAsia" w:cstheme="majorBidi"/>
          <w:b/>
          <w:bCs/>
          <w:sz w:val="26"/>
          <w:szCs w:val="26"/>
        </w:rPr>
      </w:pPr>
      <w:bookmarkStart w:id="10" w:name="_Toc242516218"/>
      <w:r>
        <w:rPr>
          <w:szCs w:val="26"/>
        </w:rPr>
        <w:br w:type="page"/>
      </w:r>
    </w:p>
    <w:p w:rsidR="00FD7119" w:rsidRDefault="00FD7119" w:rsidP="00FD7119">
      <w:pPr>
        <w:pStyle w:val="Heading1"/>
        <w:rPr>
          <w:szCs w:val="26"/>
        </w:rPr>
      </w:pPr>
      <w:bookmarkStart w:id="11" w:name="_Toc259798196"/>
      <w:bookmarkStart w:id="12" w:name="_Toc263848828"/>
      <w:r>
        <w:rPr>
          <w:szCs w:val="26"/>
        </w:rPr>
        <w:lastRenderedPageBreak/>
        <w:t xml:space="preserve">III.  </w:t>
      </w:r>
      <w:r>
        <w:rPr>
          <w:szCs w:val="26"/>
        </w:rPr>
        <w:tab/>
        <w:t>Procedural History</w:t>
      </w:r>
      <w:bookmarkEnd w:id="11"/>
      <w:bookmarkEnd w:id="12"/>
    </w:p>
    <w:p w:rsidR="00FD7119" w:rsidRDefault="00FD7119" w:rsidP="00695B97">
      <w:pPr>
        <w:pStyle w:val="Heading1"/>
      </w:pPr>
    </w:p>
    <w:p w:rsidR="0099297B" w:rsidRDefault="00764E09" w:rsidP="00764E09">
      <w:pPr>
        <w:spacing w:line="360" w:lineRule="auto"/>
        <w:ind w:firstLine="1440"/>
        <w:rPr>
          <w:sz w:val="26"/>
          <w:szCs w:val="26"/>
        </w:rPr>
      </w:pPr>
      <w:r>
        <w:rPr>
          <w:sz w:val="26"/>
          <w:szCs w:val="26"/>
        </w:rPr>
        <w:t>On August 14, 2009, the</w:t>
      </w:r>
      <w:r w:rsidRPr="00764E09">
        <w:rPr>
          <w:sz w:val="26"/>
          <w:szCs w:val="26"/>
        </w:rPr>
        <w:t xml:space="preserve"> Companies </w:t>
      </w:r>
      <w:r>
        <w:rPr>
          <w:sz w:val="26"/>
          <w:szCs w:val="26"/>
        </w:rPr>
        <w:t xml:space="preserve">filed a Joint Petition </w:t>
      </w:r>
      <w:r w:rsidR="00C72D7F">
        <w:rPr>
          <w:sz w:val="26"/>
          <w:szCs w:val="26"/>
        </w:rPr>
        <w:t xml:space="preserve">(Petition) </w:t>
      </w:r>
      <w:r>
        <w:rPr>
          <w:sz w:val="26"/>
          <w:szCs w:val="26"/>
        </w:rPr>
        <w:t>for Approval of Smart Meter Te</w:t>
      </w:r>
      <w:r w:rsidR="003B4687">
        <w:rPr>
          <w:sz w:val="26"/>
          <w:szCs w:val="26"/>
        </w:rPr>
        <w:t xml:space="preserve">chnology </w:t>
      </w:r>
      <w:r w:rsidR="005C461C">
        <w:rPr>
          <w:sz w:val="26"/>
          <w:szCs w:val="26"/>
        </w:rPr>
        <w:t xml:space="preserve">Procurement </w:t>
      </w:r>
      <w:r w:rsidR="003B4687">
        <w:rPr>
          <w:sz w:val="26"/>
          <w:szCs w:val="26"/>
        </w:rPr>
        <w:t>and Installation Plan (</w:t>
      </w:r>
      <w:r w:rsidR="00C72D7F">
        <w:rPr>
          <w:sz w:val="26"/>
          <w:szCs w:val="26"/>
        </w:rPr>
        <w:t>P</w:t>
      </w:r>
      <w:r w:rsidR="005C461C">
        <w:rPr>
          <w:sz w:val="26"/>
          <w:szCs w:val="26"/>
        </w:rPr>
        <w:t>lan</w:t>
      </w:r>
      <w:r w:rsidR="003B4687">
        <w:rPr>
          <w:sz w:val="26"/>
          <w:szCs w:val="26"/>
        </w:rPr>
        <w:t>)</w:t>
      </w:r>
      <w:r>
        <w:rPr>
          <w:sz w:val="26"/>
          <w:szCs w:val="26"/>
        </w:rPr>
        <w:t xml:space="preserve">.  </w:t>
      </w:r>
      <w:r w:rsidR="00A635D3">
        <w:rPr>
          <w:sz w:val="26"/>
          <w:szCs w:val="26"/>
        </w:rPr>
        <w:t>To recover th</w:t>
      </w:r>
      <w:r w:rsidR="003B4687">
        <w:rPr>
          <w:sz w:val="26"/>
          <w:szCs w:val="26"/>
        </w:rPr>
        <w:t xml:space="preserve">e costs associated with the </w:t>
      </w:r>
      <w:r w:rsidR="005C461C">
        <w:rPr>
          <w:sz w:val="26"/>
          <w:szCs w:val="26"/>
        </w:rPr>
        <w:t>Plan</w:t>
      </w:r>
      <w:r w:rsidR="00A635D3">
        <w:rPr>
          <w:sz w:val="26"/>
          <w:szCs w:val="26"/>
        </w:rPr>
        <w:t>, e</w:t>
      </w:r>
      <w:r w:rsidR="00FD1C6A">
        <w:rPr>
          <w:sz w:val="26"/>
          <w:szCs w:val="26"/>
        </w:rPr>
        <w:t>ach</w:t>
      </w:r>
      <w:r w:rsidR="00A635D3">
        <w:rPr>
          <w:sz w:val="26"/>
          <w:szCs w:val="26"/>
        </w:rPr>
        <w:t xml:space="preserve"> Compan</w:t>
      </w:r>
      <w:r w:rsidR="00FD1C6A">
        <w:rPr>
          <w:sz w:val="26"/>
          <w:szCs w:val="26"/>
        </w:rPr>
        <w:t xml:space="preserve">y filed a Smart Meter Technologies Charge Rider (SMT-C).  The Petition asked the Commission to approve the </w:t>
      </w:r>
      <w:r w:rsidR="005C461C">
        <w:rPr>
          <w:sz w:val="26"/>
          <w:szCs w:val="26"/>
        </w:rPr>
        <w:t xml:space="preserve">Plan </w:t>
      </w:r>
      <w:r w:rsidR="00FD1C6A">
        <w:rPr>
          <w:sz w:val="26"/>
          <w:szCs w:val="26"/>
        </w:rPr>
        <w:t xml:space="preserve">and authorize the implementation of the proposed tariff riders.   </w:t>
      </w:r>
    </w:p>
    <w:p w:rsidR="0099297B" w:rsidRDefault="0099297B" w:rsidP="00764E09">
      <w:pPr>
        <w:spacing w:line="360" w:lineRule="auto"/>
        <w:ind w:firstLine="1440"/>
        <w:rPr>
          <w:sz w:val="26"/>
          <w:szCs w:val="26"/>
        </w:rPr>
      </w:pPr>
    </w:p>
    <w:p w:rsidR="00373530" w:rsidRDefault="00373530" w:rsidP="00764E09">
      <w:pPr>
        <w:spacing w:line="360" w:lineRule="auto"/>
        <w:ind w:firstLine="1440"/>
        <w:rPr>
          <w:sz w:val="26"/>
          <w:szCs w:val="26"/>
        </w:rPr>
      </w:pPr>
      <w:r>
        <w:rPr>
          <w:sz w:val="26"/>
          <w:szCs w:val="26"/>
        </w:rPr>
        <w:t xml:space="preserve">Notice </w:t>
      </w:r>
      <w:r w:rsidR="00FD1C6A">
        <w:rPr>
          <w:sz w:val="26"/>
          <w:szCs w:val="26"/>
        </w:rPr>
        <w:t xml:space="preserve">of the filing </w:t>
      </w:r>
      <w:r>
        <w:rPr>
          <w:sz w:val="26"/>
          <w:szCs w:val="26"/>
        </w:rPr>
        <w:t>was published in the Pennsylvania Bulletin on August 29, 2009.  39 Pa. B. 5218.</w:t>
      </w:r>
      <w:r w:rsidR="003C05F3">
        <w:rPr>
          <w:sz w:val="26"/>
          <w:szCs w:val="26"/>
        </w:rPr>
        <w:t xml:space="preserve">  Comments were received through September 25, 2009.</w:t>
      </w:r>
    </w:p>
    <w:p w:rsidR="003C05F3" w:rsidRDefault="003C05F3" w:rsidP="00764E09">
      <w:pPr>
        <w:spacing w:line="360" w:lineRule="auto"/>
        <w:ind w:firstLine="1440"/>
        <w:rPr>
          <w:sz w:val="26"/>
          <w:szCs w:val="26"/>
        </w:rPr>
      </w:pPr>
    </w:p>
    <w:p w:rsidR="003C05F3" w:rsidRDefault="00736545" w:rsidP="00764E09">
      <w:pPr>
        <w:spacing w:line="360" w:lineRule="auto"/>
        <w:ind w:firstLine="1440"/>
        <w:rPr>
          <w:sz w:val="26"/>
          <w:szCs w:val="26"/>
        </w:rPr>
      </w:pPr>
      <w:r>
        <w:rPr>
          <w:sz w:val="26"/>
          <w:szCs w:val="26"/>
        </w:rPr>
        <w:t xml:space="preserve">A pre-hearing conference was held on </w:t>
      </w:r>
      <w:r w:rsidR="00152436">
        <w:rPr>
          <w:sz w:val="26"/>
          <w:szCs w:val="26"/>
        </w:rPr>
        <w:t>September 29, 2009</w:t>
      </w:r>
      <w:r w:rsidR="00482C61">
        <w:rPr>
          <w:sz w:val="26"/>
          <w:szCs w:val="26"/>
        </w:rPr>
        <w:t>,</w:t>
      </w:r>
      <w:r w:rsidR="00E73F9E">
        <w:rPr>
          <w:sz w:val="26"/>
          <w:szCs w:val="26"/>
        </w:rPr>
        <w:t xml:space="preserve"> by ALJ Colwell</w:t>
      </w:r>
      <w:r w:rsidR="00152436">
        <w:rPr>
          <w:sz w:val="26"/>
          <w:szCs w:val="26"/>
        </w:rPr>
        <w:t xml:space="preserve">.  </w:t>
      </w:r>
      <w:r w:rsidR="00E73F9E">
        <w:rPr>
          <w:sz w:val="26"/>
          <w:szCs w:val="26"/>
        </w:rPr>
        <w:t>A technical conference was held on October 20, 2009</w:t>
      </w:r>
      <w:r w:rsidR="00482C61">
        <w:rPr>
          <w:sz w:val="26"/>
          <w:szCs w:val="26"/>
        </w:rPr>
        <w:t>,</w:t>
      </w:r>
      <w:r w:rsidR="00E73F9E">
        <w:rPr>
          <w:sz w:val="26"/>
          <w:szCs w:val="26"/>
        </w:rPr>
        <w:t xml:space="preserve"> by ALJ David A. Salapa.  Written testimony was filed and a hearing was held on November 19, 2009.  Following the submission of briefs and reply briefs, ALJ Colwell issued her Init</w:t>
      </w:r>
      <w:r w:rsidR="004F3F69">
        <w:rPr>
          <w:sz w:val="26"/>
          <w:szCs w:val="26"/>
        </w:rPr>
        <w:t>ial Decision on January 28, 2010</w:t>
      </w:r>
      <w:r w:rsidR="00E73F9E">
        <w:rPr>
          <w:sz w:val="26"/>
          <w:szCs w:val="26"/>
        </w:rPr>
        <w:t>.</w:t>
      </w:r>
    </w:p>
    <w:p w:rsidR="00E73F9E" w:rsidRDefault="00E73F9E" w:rsidP="00764E09">
      <w:pPr>
        <w:spacing w:line="360" w:lineRule="auto"/>
        <w:ind w:firstLine="1440"/>
        <w:rPr>
          <w:sz w:val="26"/>
          <w:szCs w:val="26"/>
        </w:rPr>
      </w:pPr>
    </w:p>
    <w:p w:rsidR="00E73F9E" w:rsidRDefault="00E73F9E" w:rsidP="00764E09">
      <w:pPr>
        <w:spacing w:line="360" w:lineRule="auto"/>
        <w:ind w:firstLine="1440"/>
        <w:rPr>
          <w:sz w:val="26"/>
          <w:szCs w:val="26"/>
        </w:rPr>
      </w:pPr>
      <w:r>
        <w:rPr>
          <w:sz w:val="26"/>
          <w:szCs w:val="26"/>
        </w:rPr>
        <w:t xml:space="preserve">The </w:t>
      </w:r>
      <w:r w:rsidR="00C73215">
        <w:rPr>
          <w:sz w:val="26"/>
          <w:szCs w:val="26"/>
        </w:rPr>
        <w:t xml:space="preserve">ALJ approved the Companies’ </w:t>
      </w:r>
      <w:r w:rsidR="003B4687">
        <w:rPr>
          <w:sz w:val="26"/>
          <w:szCs w:val="26"/>
        </w:rPr>
        <w:t>P</w:t>
      </w:r>
      <w:r w:rsidR="00C73215">
        <w:rPr>
          <w:sz w:val="26"/>
          <w:szCs w:val="26"/>
        </w:rPr>
        <w:t>lan</w:t>
      </w:r>
      <w:r>
        <w:rPr>
          <w:sz w:val="26"/>
          <w:szCs w:val="26"/>
        </w:rPr>
        <w:t>, but ordered certain modifications therein</w:t>
      </w:r>
      <w:r w:rsidR="00AE35DA">
        <w:rPr>
          <w:sz w:val="26"/>
          <w:szCs w:val="26"/>
        </w:rPr>
        <w:t xml:space="preserve">.  </w:t>
      </w:r>
      <w:r w:rsidR="00AE35DA" w:rsidRPr="00AE35DA">
        <w:rPr>
          <w:i/>
          <w:sz w:val="26"/>
          <w:szCs w:val="26"/>
        </w:rPr>
        <w:t>Inter alia</w:t>
      </w:r>
      <w:r w:rsidR="00AE35DA">
        <w:rPr>
          <w:sz w:val="26"/>
          <w:szCs w:val="26"/>
        </w:rPr>
        <w:t xml:space="preserve">, </w:t>
      </w:r>
      <w:r w:rsidR="00B470FF">
        <w:rPr>
          <w:sz w:val="26"/>
          <w:szCs w:val="26"/>
        </w:rPr>
        <w:t>the ALJ ordered the Companies to remove the provision calling for the payment of interest on over</w:t>
      </w:r>
      <w:r w:rsidR="00F16F50">
        <w:rPr>
          <w:sz w:val="26"/>
          <w:szCs w:val="26"/>
        </w:rPr>
        <w:t>-</w:t>
      </w:r>
      <w:r w:rsidR="00B470FF">
        <w:rPr>
          <w:sz w:val="26"/>
          <w:szCs w:val="26"/>
        </w:rPr>
        <w:t xml:space="preserve"> and under</w:t>
      </w:r>
      <w:r w:rsidR="00F16F50">
        <w:rPr>
          <w:sz w:val="26"/>
          <w:szCs w:val="26"/>
        </w:rPr>
        <w:t>-</w:t>
      </w:r>
      <w:r w:rsidR="00B470FF">
        <w:rPr>
          <w:sz w:val="26"/>
          <w:szCs w:val="26"/>
        </w:rPr>
        <w:t>collections</w:t>
      </w:r>
      <w:r w:rsidR="00F16F50">
        <w:rPr>
          <w:sz w:val="26"/>
          <w:szCs w:val="26"/>
        </w:rPr>
        <w:t>.</w:t>
      </w:r>
      <w:r w:rsidR="00AE35DA">
        <w:rPr>
          <w:sz w:val="26"/>
          <w:szCs w:val="26"/>
        </w:rPr>
        <w:t xml:space="preserve">  </w:t>
      </w:r>
      <w:r w:rsidR="00743C75">
        <w:rPr>
          <w:sz w:val="26"/>
          <w:szCs w:val="26"/>
        </w:rPr>
        <w:t xml:space="preserve">I.D. at 41-43.  </w:t>
      </w:r>
      <w:r w:rsidR="00AE35DA">
        <w:rPr>
          <w:sz w:val="26"/>
          <w:szCs w:val="26"/>
        </w:rPr>
        <w:t xml:space="preserve">The ALJ also ordered the Companies to include wording in the tariff </w:t>
      </w:r>
      <w:r w:rsidR="00743C75">
        <w:rPr>
          <w:sz w:val="26"/>
          <w:szCs w:val="26"/>
        </w:rPr>
        <w:t>stating that reductions in operating expenses, as well as avoided capital expenditures, will be deducted from the costs of the Plan.</w:t>
      </w:r>
      <w:r w:rsidR="00AE35DA">
        <w:rPr>
          <w:sz w:val="26"/>
          <w:szCs w:val="26"/>
        </w:rPr>
        <w:t xml:space="preserve"> </w:t>
      </w:r>
      <w:r w:rsidR="00F16F50">
        <w:rPr>
          <w:sz w:val="26"/>
          <w:szCs w:val="26"/>
        </w:rPr>
        <w:t xml:space="preserve"> </w:t>
      </w:r>
      <w:r w:rsidR="00743C75" w:rsidRPr="00EF2A1C">
        <w:rPr>
          <w:i/>
          <w:sz w:val="26"/>
          <w:szCs w:val="26"/>
        </w:rPr>
        <w:t>I</w:t>
      </w:r>
      <w:r w:rsidR="00EF2A1C" w:rsidRPr="00EF2A1C">
        <w:rPr>
          <w:i/>
          <w:sz w:val="26"/>
          <w:szCs w:val="26"/>
        </w:rPr>
        <w:t>d</w:t>
      </w:r>
      <w:r w:rsidR="00743C75">
        <w:rPr>
          <w:sz w:val="26"/>
          <w:szCs w:val="26"/>
        </w:rPr>
        <w:t xml:space="preserve">. at 46-47.  </w:t>
      </w:r>
      <w:r w:rsidR="00F16F50">
        <w:rPr>
          <w:sz w:val="26"/>
          <w:szCs w:val="26"/>
        </w:rPr>
        <w:t>The ALJ also ordered the Companies to revise the proposed tariffs and file the</w:t>
      </w:r>
      <w:r w:rsidR="00403AF9">
        <w:rPr>
          <w:sz w:val="26"/>
          <w:szCs w:val="26"/>
        </w:rPr>
        <w:t xml:space="preserve"> revised versions</w:t>
      </w:r>
      <w:r w:rsidR="00F16F50">
        <w:rPr>
          <w:sz w:val="26"/>
          <w:szCs w:val="26"/>
        </w:rPr>
        <w:t xml:space="preserve"> within thirty days.  </w:t>
      </w:r>
      <w:r w:rsidR="00F16F50" w:rsidRPr="00EF2A1C">
        <w:rPr>
          <w:i/>
          <w:sz w:val="26"/>
          <w:szCs w:val="26"/>
        </w:rPr>
        <w:t>I</w:t>
      </w:r>
      <w:r w:rsidR="00EF2A1C" w:rsidRPr="00EF2A1C">
        <w:rPr>
          <w:i/>
          <w:sz w:val="26"/>
          <w:szCs w:val="26"/>
        </w:rPr>
        <w:t>d</w:t>
      </w:r>
      <w:r w:rsidR="00CD0C7E">
        <w:rPr>
          <w:sz w:val="26"/>
          <w:szCs w:val="26"/>
        </w:rPr>
        <w:t>.</w:t>
      </w:r>
      <w:r w:rsidR="00F16F50">
        <w:rPr>
          <w:sz w:val="26"/>
          <w:szCs w:val="26"/>
        </w:rPr>
        <w:t xml:space="preserve"> at 58-59.</w:t>
      </w:r>
    </w:p>
    <w:p w:rsidR="00373530" w:rsidRDefault="00373530" w:rsidP="00764E09">
      <w:pPr>
        <w:spacing w:line="360" w:lineRule="auto"/>
        <w:ind w:firstLine="1440"/>
        <w:rPr>
          <w:sz w:val="26"/>
          <w:szCs w:val="26"/>
        </w:rPr>
      </w:pPr>
    </w:p>
    <w:p w:rsidR="00C16FF9" w:rsidRPr="00764E09" w:rsidRDefault="00764E09" w:rsidP="00764E09">
      <w:pPr>
        <w:spacing w:line="360" w:lineRule="auto"/>
        <w:ind w:firstLine="1440"/>
        <w:rPr>
          <w:sz w:val="26"/>
          <w:szCs w:val="26"/>
        </w:rPr>
      </w:pPr>
      <w:r>
        <w:rPr>
          <w:sz w:val="26"/>
          <w:szCs w:val="26"/>
        </w:rPr>
        <w:t xml:space="preserve"> </w:t>
      </w:r>
      <w:r w:rsidR="008B7719">
        <w:rPr>
          <w:sz w:val="26"/>
          <w:szCs w:val="26"/>
        </w:rPr>
        <w:t xml:space="preserve">As stated previously, </w:t>
      </w:r>
      <w:r w:rsidR="005B095C">
        <w:rPr>
          <w:sz w:val="26"/>
          <w:szCs w:val="26"/>
        </w:rPr>
        <w:t xml:space="preserve">Exceptions </w:t>
      </w:r>
      <w:r w:rsidR="008B7719">
        <w:rPr>
          <w:sz w:val="26"/>
          <w:szCs w:val="26"/>
        </w:rPr>
        <w:t>and Reply Exceptions have been filed</w:t>
      </w:r>
      <w:r w:rsidR="005B095C">
        <w:rPr>
          <w:sz w:val="26"/>
          <w:szCs w:val="26"/>
        </w:rPr>
        <w:t>.</w:t>
      </w:r>
    </w:p>
    <w:p w:rsidR="00FD7119" w:rsidRPr="00764E09" w:rsidRDefault="00FD7119" w:rsidP="00695B97">
      <w:pPr>
        <w:pStyle w:val="Heading1"/>
        <w:rPr>
          <w:szCs w:val="26"/>
        </w:rPr>
      </w:pPr>
    </w:p>
    <w:p w:rsidR="00FD7119" w:rsidRPr="00764E09" w:rsidRDefault="00FD7119">
      <w:pPr>
        <w:spacing w:after="200" w:line="276" w:lineRule="auto"/>
        <w:rPr>
          <w:rFonts w:eastAsiaTheme="majorEastAsia" w:cstheme="majorBidi"/>
          <w:b/>
          <w:bCs/>
          <w:sz w:val="26"/>
          <w:szCs w:val="26"/>
        </w:rPr>
      </w:pPr>
      <w:r w:rsidRPr="00764E09">
        <w:rPr>
          <w:sz w:val="26"/>
          <w:szCs w:val="26"/>
        </w:rPr>
        <w:br w:type="page"/>
      </w:r>
    </w:p>
    <w:p w:rsidR="001A395D" w:rsidRPr="0056717C" w:rsidRDefault="00FD7119" w:rsidP="00695B97">
      <w:pPr>
        <w:pStyle w:val="Heading1"/>
      </w:pPr>
      <w:bookmarkStart w:id="13" w:name="_Toc259798197"/>
      <w:bookmarkStart w:id="14" w:name="_Toc263848829"/>
      <w:r>
        <w:lastRenderedPageBreak/>
        <w:t>IV</w:t>
      </w:r>
      <w:r w:rsidR="00B6382E">
        <w:t xml:space="preserve">.  </w:t>
      </w:r>
      <w:r w:rsidR="006F4B78">
        <w:tab/>
      </w:r>
      <w:r w:rsidR="001A395D" w:rsidRPr="00695B97">
        <w:t>Description</w:t>
      </w:r>
      <w:r w:rsidR="001A395D" w:rsidRPr="0056717C">
        <w:t xml:space="preserve"> of the Plan</w:t>
      </w:r>
      <w:bookmarkEnd w:id="10"/>
      <w:bookmarkEnd w:id="13"/>
      <w:bookmarkEnd w:id="14"/>
      <w:r w:rsidR="001A395D" w:rsidRPr="0056717C">
        <w:t xml:space="preserve"> </w:t>
      </w:r>
    </w:p>
    <w:p w:rsidR="001A395D" w:rsidRDefault="001A395D" w:rsidP="00654E90">
      <w:pPr>
        <w:pStyle w:val="Heading1"/>
        <w:rPr>
          <w:szCs w:val="26"/>
        </w:rPr>
      </w:pPr>
    </w:p>
    <w:p w:rsidR="00634056" w:rsidRDefault="009205D6" w:rsidP="003B4687">
      <w:pPr>
        <w:spacing w:line="360" w:lineRule="auto"/>
        <w:ind w:firstLine="1440"/>
        <w:rPr>
          <w:sz w:val="26"/>
          <w:szCs w:val="26"/>
        </w:rPr>
      </w:pPr>
      <w:r>
        <w:rPr>
          <w:sz w:val="26"/>
          <w:szCs w:val="26"/>
        </w:rPr>
        <w:t xml:space="preserve">The Companies’ </w:t>
      </w:r>
      <w:r w:rsidR="003B4687">
        <w:rPr>
          <w:sz w:val="26"/>
          <w:szCs w:val="26"/>
        </w:rPr>
        <w:t>P</w:t>
      </w:r>
      <w:r>
        <w:rPr>
          <w:sz w:val="26"/>
          <w:szCs w:val="26"/>
        </w:rPr>
        <w:t>lan</w:t>
      </w:r>
      <w:r w:rsidR="003B4687">
        <w:rPr>
          <w:sz w:val="26"/>
          <w:szCs w:val="26"/>
        </w:rPr>
        <w:t xml:space="preserve"> is a single comprehensive plan that applies to all three Companies.  </w:t>
      </w:r>
      <w:r w:rsidR="00634056">
        <w:rPr>
          <w:sz w:val="26"/>
          <w:szCs w:val="26"/>
        </w:rPr>
        <w:t xml:space="preserve">It describes the current status of smart meter deployment.  </w:t>
      </w:r>
      <w:r w:rsidR="009316B7">
        <w:rPr>
          <w:sz w:val="26"/>
          <w:szCs w:val="26"/>
        </w:rPr>
        <w:t xml:space="preserve">It </w:t>
      </w:r>
      <w:r w:rsidR="00634056">
        <w:rPr>
          <w:sz w:val="26"/>
          <w:szCs w:val="26"/>
        </w:rPr>
        <w:t>also contains</w:t>
      </w:r>
      <w:r w:rsidR="00A95BE9">
        <w:rPr>
          <w:sz w:val="26"/>
          <w:szCs w:val="26"/>
        </w:rPr>
        <w:t xml:space="preserve"> both a</w:t>
      </w:r>
      <w:r w:rsidR="009316B7">
        <w:rPr>
          <w:sz w:val="26"/>
          <w:szCs w:val="26"/>
        </w:rPr>
        <w:t xml:space="preserve"> </w:t>
      </w:r>
      <w:r w:rsidR="00482C61">
        <w:rPr>
          <w:sz w:val="26"/>
          <w:szCs w:val="26"/>
        </w:rPr>
        <w:t xml:space="preserve">detailed </w:t>
      </w:r>
      <w:r w:rsidR="009316B7">
        <w:rPr>
          <w:sz w:val="26"/>
          <w:szCs w:val="26"/>
        </w:rPr>
        <w:t xml:space="preserve">short-term plan, to be implemented during the thirty-month grace period </w:t>
      </w:r>
      <w:r w:rsidR="00D373BB">
        <w:rPr>
          <w:sz w:val="26"/>
          <w:szCs w:val="26"/>
        </w:rPr>
        <w:t xml:space="preserve">(Grace Period) </w:t>
      </w:r>
      <w:r w:rsidR="009316B7">
        <w:rPr>
          <w:sz w:val="26"/>
          <w:szCs w:val="26"/>
        </w:rPr>
        <w:t xml:space="preserve">described in the </w:t>
      </w:r>
      <w:r w:rsidR="009316B7" w:rsidRPr="009316B7">
        <w:rPr>
          <w:i/>
          <w:sz w:val="26"/>
          <w:szCs w:val="26"/>
        </w:rPr>
        <w:t>Implementation Order</w:t>
      </w:r>
      <w:r w:rsidR="009316B7">
        <w:rPr>
          <w:sz w:val="26"/>
          <w:szCs w:val="26"/>
        </w:rPr>
        <w:t xml:space="preserve">, and a </w:t>
      </w:r>
      <w:r w:rsidR="00482C61">
        <w:rPr>
          <w:sz w:val="26"/>
          <w:szCs w:val="26"/>
        </w:rPr>
        <w:t xml:space="preserve">general </w:t>
      </w:r>
      <w:r w:rsidR="009316B7">
        <w:rPr>
          <w:sz w:val="26"/>
          <w:szCs w:val="26"/>
        </w:rPr>
        <w:t>long-term time line based on information currently available.</w:t>
      </w:r>
      <w:r w:rsidR="008A2C40">
        <w:rPr>
          <w:sz w:val="26"/>
          <w:szCs w:val="26"/>
        </w:rPr>
        <w:t xml:space="preserve">  </w:t>
      </w:r>
      <w:r w:rsidR="00AD41AF">
        <w:rPr>
          <w:sz w:val="26"/>
          <w:szCs w:val="26"/>
        </w:rPr>
        <w:t>Joint Petition at ¶ 9</w:t>
      </w:r>
      <w:r w:rsidR="00523F11">
        <w:rPr>
          <w:sz w:val="26"/>
          <w:szCs w:val="26"/>
        </w:rPr>
        <w:t xml:space="preserve">; </w:t>
      </w:r>
      <w:r w:rsidR="00B55DC4">
        <w:rPr>
          <w:sz w:val="26"/>
          <w:szCs w:val="26"/>
        </w:rPr>
        <w:t>FirstEnergy</w:t>
      </w:r>
      <w:r w:rsidR="00523F11">
        <w:rPr>
          <w:sz w:val="26"/>
          <w:szCs w:val="26"/>
        </w:rPr>
        <w:t xml:space="preserve"> MB at 3</w:t>
      </w:r>
      <w:r w:rsidR="00AD41AF">
        <w:rPr>
          <w:sz w:val="26"/>
          <w:szCs w:val="26"/>
        </w:rPr>
        <w:t>.</w:t>
      </w:r>
      <w:r w:rsidR="005D7ABA">
        <w:rPr>
          <w:sz w:val="26"/>
          <w:szCs w:val="26"/>
        </w:rPr>
        <w:t xml:space="preserve"> </w:t>
      </w:r>
      <w:r w:rsidR="00482C61">
        <w:rPr>
          <w:sz w:val="26"/>
          <w:szCs w:val="26"/>
        </w:rPr>
        <w:t xml:space="preserve"> </w:t>
      </w:r>
      <w:r w:rsidR="0080282F">
        <w:rPr>
          <w:sz w:val="26"/>
          <w:szCs w:val="26"/>
        </w:rPr>
        <w:t>Finally, the Plan addresses cost recovery.</w:t>
      </w:r>
    </w:p>
    <w:p w:rsidR="0080282F" w:rsidRDefault="0080282F" w:rsidP="003B4687">
      <w:pPr>
        <w:spacing w:line="360" w:lineRule="auto"/>
        <w:ind w:firstLine="1440"/>
        <w:rPr>
          <w:sz w:val="26"/>
          <w:szCs w:val="26"/>
        </w:rPr>
      </w:pPr>
    </w:p>
    <w:p w:rsidR="0080282F" w:rsidRDefault="0080282F" w:rsidP="0080282F">
      <w:pPr>
        <w:pStyle w:val="Heading2"/>
      </w:pPr>
      <w:bookmarkStart w:id="15" w:name="_Toc259798198"/>
      <w:bookmarkStart w:id="16" w:name="_Toc263848830"/>
      <w:r>
        <w:t>A.</w:t>
      </w:r>
      <w:r>
        <w:tab/>
        <w:t>Current Status of Smart Meter Deployment</w:t>
      </w:r>
      <w:bookmarkEnd w:id="15"/>
      <w:bookmarkEnd w:id="16"/>
    </w:p>
    <w:p w:rsidR="00634056" w:rsidRDefault="00634056" w:rsidP="003B4687">
      <w:pPr>
        <w:spacing w:line="360" w:lineRule="auto"/>
        <w:ind w:firstLine="1440"/>
        <w:rPr>
          <w:sz w:val="26"/>
          <w:szCs w:val="26"/>
        </w:rPr>
      </w:pPr>
    </w:p>
    <w:p w:rsidR="00634056" w:rsidRDefault="00AD2643" w:rsidP="00634056">
      <w:pPr>
        <w:spacing w:line="360" w:lineRule="auto"/>
        <w:ind w:firstLine="1440"/>
        <w:rPr>
          <w:sz w:val="26"/>
          <w:szCs w:val="26"/>
        </w:rPr>
      </w:pPr>
      <w:r>
        <w:rPr>
          <w:sz w:val="26"/>
          <w:szCs w:val="26"/>
        </w:rPr>
        <w:t xml:space="preserve">The Companies </w:t>
      </w:r>
      <w:r w:rsidR="00634056">
        <w:rPr>
          <w:sz w:val="26"/>
          <w:szCs w:val="26"/>
        </w:rPr>
        <w:t xml:space="preserve">currently deploy smart meter technology through MV-90 meters to most of its largest commercial and industrial customers.  “These meters provide automated hourly consumption data to the Companies’ information systems, with such data regularly available to customers at their facilities.”  Plan at 4.  During the </w:t>
      </w:r>
      <w:r w:rsidR="009F6E28">
        <w:rPr>
          <w:sz w:val="26"/>
          <w:szCs w:val="26"/>
        </w:rPr>
        <w:t>G</w:t>
      </w:r>
      <w:r w:rsidR="00634056">
        <w:rPr>
          <w:sz w:val="26"/>
          <w:szCs w:val="26"/>
        </w:rPr>
        <w:t>rac</w:t>
      </w:r>
      <w:r w:rsidR="009F6E28">
        <w:rPr>
          <w:sz w:val="26"/>
          <w:szCs w:val="26"/>
        </w:rPr>
        <w:t>e P</w:t>
      </w:r>
      <w:r w:rsidR="00634056">
        <w:rPr>
          <w:sz w:val="26"/>
          <w:szCs w:val="26"/>
        </w:rPr>
        <w:t xml:space="preserve">eriod, the Companies will continue to deploy MV-90 interval meters in response to requests by industrial or large commercial customers.  </w:t>
      </w:r>
      <w:r w:rsidR="009F6E28">
        <w:rPr>
          <w:sz w:val="26"/>
          <w:szCs w:val="26"/>
        </w:rPr>
        <w:t xml:space="preserve">Following </w:t>
      </w:r>
      <w:r w:rsidR="00634056">
        <w:rPr>
          <w:sz w:val="26"/>
          <w:szCs w:val="26"/>
        </w:rPr>
        <w:t xml:space="preserve">the </w:t>
      </w:r>
      <w:r w:rsidR="009F6E28">
        <w:rPr>
          <w:sz w:val="26"/>
          <w:szCs w:val="26"/>
        </w:rPr>
        <w:t>expiration of the G</w:t>
      </w:r>
      <w:r w:rsidR="00634056">
        <w:rPr>
          <w:sz w:val="26"/>
          <w:szCs w:val="26"/>
        </w:rPr>
        <w:t xml:space="preserve">race </w:t>
      </w:r>
      <w:r w:rsidR="009F6E28">
        <w:rPr>
          <w:sz w:val="26"/>
          <w:szCs w:val="26"/>
        </w:rPr>
        <w:t>P</w:t>
      </w:r>
      <w:r w:rsidR="00634056">
        <w:rPr>
          <w:sz w:val="26"/>
          <w:szCs w:val="26"/>
        </w:rPr>
        <w:t xml:space="preserve">eriod and during network system build-out, the Companies will provide smart meters based on customer requests and for all new construction.  To obtain a smart meter during this period, the customer must agree to pay the incremental costs of installing the meter.  At a later date, the Companies will submit an estimate of these costs for Commission review.  </w:t>
      </w:r>
      <w:r w:rsidR="00B55DC4">
        <w:rPr>
          <w:sz w:val="26"/>
          <w:szCs w:val="26"/>
        </w:rPr>
        <w:t>FirstEnergy</w:t>
      </w:r>
      <w:r w:rsidR="00252088">
        <w:rPr>
          <w:sz w:val="26"/>
          <w:szCs w:val="26"/>
        </w:rPr>
        <w:t xml:space="preserve"> MB at 5.  </w:t>
      </w:r>
      <w:r w:rsidR="00634056">
        <w:rPr>
          <w:sz w:val="26"/>
          <w:szCs w:val="26"/>
        </w:rPr>
        <w:t xml:space="preserve"> </w:t>
      </w:r>
    </w:p>
    <w:p w:rsidR="00634056" w:rsidRDefault="00634056" w:rsidP="003B4687">
      <w:pPr>
        <w:spacing w:line="360" w:lineRule="auto"/>
        <w:ind w:firstLine="1440"/>
        <w:rPr>
          <w:sz w:val="26"/>
          <w:szCs w:val="26"/>
        </w:rPr>
      </w:pPr>
    </w:p>
    <w:p w:rsidR="0080282F" w:rsidRDefault="0080282F" w:rsidP="0080282F">
      <w:pPr>
        <w:pStyle w:val="Heading2"/>
      </w:pPr>
      <w:bookmarkStart w:id="17" w:name="_Toc259798199"/>
      <w:bookmarkStart w:id="18" w:name="_Toc263848831"/>
      <w:r>
        <w:t>B.</w:t>
      </w:r>
      <w:r>
        <w:tab/>
        <w:t>Plan for Smart Meter Deployment</w:t>
      </w:r>
      <w:bookmarkEnd w:id="17"/>
      <w:bookmarkEnd w:id="18"/>
    </w:p>
    <w:p w:rsidR="0080282F" w:rsidRDefault="0080282F" w:rsidP="003B4687">
      <w:pPr>
        <w:spacing w:line="360" w:lineRule="auto"/>
        <w:ind w:firstLine="1440"/>
        <w:rPr>
          <w:sz w:val="26"/>
          <w:szCs w:val="26"/>
        </w:rPr>
      </w:pPr>
    </w:p>
    <w:p w:rsidR="000C445D" w:rsidRDefault="00C373D2" w:rsidP="000C445D">
      <w:pPr>
        <w:spacing w:line="360" w:lineRule="auto"/>
        <w:ind w:firstLine="1440"/>
        <w:rPr>
          <w:sz w:val="26"/>
          <w:szCs w:val="26"/>
        </w:rPr>
      </w:pPr>
      <w:r>
        <w:rPr>
          <w:sz w:val="26"/>
          <w:szCs w:val="26"/>
        </w:rPr>
        <w:t xml:space="preserve">The </w:t>
      </w:r>
      <w:r w:rsidR="008A2C40">
        <w:rPr>
          <w:sz w:val="26"/>
          <w:szCs w:val="26"/>
        </w:rPr>
        <w:t xml:space="preserve">Companies intend to use the first twenty-four months </w:t>
      </w:r>
      <w:r w:rsidR="009205D6">
        <w:rPr>
          <w:sz w:val="26"/>
          <w:szCs w:val="26"/>
        </w:rPr>
        <w:t xml:space="preserve">following approval of the </w:t>
      </w:r>
      <w:r>
        <w:rPr>
          <w:sz w:val="26"/>
          <w:szCs w:val="26"/>
        </w:rPr>
        <w:t>P</w:t>
      </w:r>
      <w:r w:rsidR="009205D6">
        <w:rPr>
          <w:sz w:val="26"/>
          <w:szCs w:val="26"/>
        </w:rPr>
        <w:t>lan</w:t>
      </w:r>
      <w:r>
        <w:rPr>
          <w:sz w:val="26"/>
          <w:szCs w:val="26"/>
        </w:rPr>
        <w:t xml:space="preserve"> (the Assessment Period)</w:t>
      </w:r>
      <w:r w:rsidR="008A2C40">
        <w:rPr>
          <w:sz w:val="26"/>
          <w:szCs w:val="26"/>
        </w:rPr>
        <w:t xml:space="preserve"> to</w:t>
      </w:r>
      <w:r w:rsidR="00AD41AF">
        <w:rPr>
          <w:sz w:val="26"/>
          <w:szCs w:val="26"/>
        </w:rPr>
        <w:t xml:space="preserve"> assess needs, select technology, secure vendors, train personnel, and install and support test equipment.  At the end of the Assessment Period, the Companies will submit a supplement to the P</w:t>
      </w:r>
      <w:r w:rsidR="009205D6">
        <w:rPr>
          <w:sz w:val="26"/>
          <w:szCs w:val="26"/>
        </w:rPr>
        <w:t>lan</w:t>
      </w:r>
      <w:r w:rsidR="00AD41AF">
        <w:rPr>
          <w:sz w:val="26"/>
          <w:szCs w:val="26"/>
        </w:rPr>
        <w:t xml:space="preserve"> (the Deployment </w:t>
      </w:r>
      <w:r w:rsidR="00AD41AF">
        <w:rPr>
          <w:sz w:val="26"/>
          <w:szCs w:val="26"/>
        </w:rPr>
        <w:lastRenderedPageBreak/>
        <w:t xml:space="preserve">Plan). </w:t>
      </w:r>
      <w:r w:rsidR="00523F11">
        <w:rPr>
          <w:sz w:val="26"/>
          <w:szCs w:val="26"/>
        </w:rPr>
        <w:t xml:space="preserve"> Joint Petition </w:t>
      </w:r>
      <w:r w:rsidR="00AD41AF">
        <w:rPr>
          <w:sz w:val="26"/>
          <w:szCs w:val="26"/>
        </w:rPr>
        <w:t>at ¶¶ 13-14</w:t>
      </w:r>
      <w:r w:rsidR="00523F11">
        <w:rPr>
          <w:sz w:val="26"/>
          <w:szCs w:val="26"/>
        </w:rPr>
        <w:t xml:space="preserve">; </w:t>
      </w:r>
      <w:r w:rsidR="00B55DC4">
        <w:rPr>
          <w:sz w:val="26"/>
          <w:szCs w:val="26"/>
        </w:rPr>
        <w:t>FirstEnergy</w:t>
      </w:r>
      <w:r w:rsidR="00523F11">
        <w:rPr>
          <w:sz w:val="26"/>
          <w:szCs w:val="26"/>
        </w:rPr>
        <w:t xml:space="preserve"> MB at 3</w:t>
      </w:r>
      <w:r w:rsidR="00AD41AF">
        <w:rPr>
          <w:sz w:val="26"/>
          <w:szCs w:val="26"/>
        </w:rPr>
        <w:t xml:space="preserve">.  </w:t>
      </w:r>
      <w:r w:rsidR="00B25C20">
        <w:rPr>
          <w:sz w:val="26"/>
          <w:szCs w:val="26"/>
        </w:rPr>
        <w:t xml:space="preserve">The </w:t>
      </w:r>
      <w:r w:rsidR="00DD5618">
        <w:rPr>
          <w:sz w:val="26"/>
          <w:szCs w:val="26"/>
        </w:rPr>
        <w:t>Deployment P</w:t>
      </w:r>
      <w:r w:rsidR="001F1988">
        <w:rPr>
          <w:sz w:val="26"/>
          <w:szCs w:val="26"/>
        </w:rPr>
        <w:t>lan will set forth details regarding the installation, testing and roll</w:t>
      </w:r>
      <w:r w:rsidR="008254AE">
        <w:rPr>
          <w:sz w:val="26"/>
          <w:szCs w:val="26"/>
        </w:rPr>
        <w:t xml:space="preserve"> </w:t>
      </w:r>
      <w:r w:rsidR="001F1988">
        <w:rPr>
          <w:sz w:val="26"/>
          <w:szCs w:val="26"/>
        </w:rPr>
        <w:t>out of</w:t>
      </w:r>
      <w:r w:rsidR="00AD4319">
        <w:rPr>
          <w:sz w:val="26"/>
          <w:szCs w:val="26"/>
        </w:rPr>
        <w:t xml:space="preserve"> the Companies’ smart meters.  </w:t>
      </w:r>
      <w:r w:rsidR="001C00A2">
        <w:rPr>
          <w:sz w:val="26"/>
          <w:szCs w:val="26"/>
        </w:rPr>
        <w:t xml:space="preserve">Joint Petition at ¶¶ 25-26; </w:t>
      </w:r>
      <w:r w:rsidR="008B6DBA">
        <w:rPr>
          <w:sz w:val="26"/>
          <w:szCs w:val="26"/>
        </w:rPr>
        <w:t>P</w:t>
      </w:r>
      <w:r w:rsidR="001C00A2">
        <w:rPr>
          <w:sz w:val="26"/>
          <w:szCs w:val="26"/>
        </w:rPr>
        <w:t>lan</w:t>
      </w:r>
      <w:r w:rsidR="008B6DBA">
        <w:rPr>
          <w:sz w:val="26"/>
          <w:szCs w:val="26"/>
        </w:rPr>
        <w:t xml:space="preserve"> at 6.</w:t>
      </w:r>
      <w:r w:rsidR="000C445D">
        <w:rPr>
          <w:sz w:val="26"/>
          <w:szCs w:val="26"/>
        </w:rPr>
        <w:t xml:space="preserve">  Specifically, the Deployment Plan will include:</w:t>
      </w:r>
    </w:p>
    <w:p w:rsidR="000C445D" w:rsidRDefault="000C445D" w:rsidP="000C445D">
      <w:pPr>
        <w:ind w:left="1440" w:right="1440"/>
        <w:rPr>
          <w:sz w:val="26"/>
          <w:szCs w:val="26"/>
        </w:rPr>
      </w:pPr>
      <w:r>
        <w:rPr>
          <w:sz w:val="26"/>
          <w:szCs w:val="26"/>
        </w:rPr>
        <w:t xml:space="preserve">. . . 1) a detailed long-term time line, with key milestones; </w:t>
      </w:r>
      <w:r>
        <w:rPr>
          <w:sz w:val="26"/>
          <w:szCs w:val="26"/>
        </w:rPr>
        <w:br/>
        <w:t xml:space="preserve">2) a smart meter solution; 3) the costs of such a solution, along with an assessment of benefits; 4) a network design solution; 5) a communications architecture design solution; </w:t>
      </w:r>
      <w:r>
        <w:rPr>
          <w:sz w:val="26"/>
          <w:szCs w:val="26"/>
        </w:rPr>
        <w:br/>
        <w:t>6) a training assessment and proposed curriculum; 7) a cost recovery forecast; 8) a transition plan including communications to employees and customers; and 9) a detailed tiered roll out plan.</w:t>
      </w:r>
    </w:p>
    <w:p w:rsidR="000C445D" w:rsidRDefault="000C445D" w:rsidP="000C445D">
      <w:pPr>
        <w:spacing w:line="360" w:lineRule="auto"/>
        <w:ind w:firstLine="1440"/>
        <w:rPr>
          <w:sz w:val="26"/>
          <w:szCs w:val="26"/>
        </w:rPr>
      </w:pPr>
    </w:p>
    <w:p w:rsidR="00DD5618" w:rsidRDefault="00E54B9F" w:rsidP="00E54B9F">
      <w:pPr>
        <w:spacing w:line="360" w:lineRule="auto"/>
        <w:rPr>
          <w:sz w:val="26"/>
          <w:szCs w:val="26"/>
        </w:rPr>
      </w:pPr>
      <w:r>
        <w:rPr>
          <w:sz w:val="26"/>
          <w:szCs w:val="26"/>
        </w:rPr>
        <w:t>Joint Petition at ¶ 26.</w:t>
      </w:r>
      <w:r w:rsidR="005A49E3">
        <w:rPr>
          <w:sz w:val="26"/>
          <w:szCs w:val="26"/>
        </w:rPr>
        <w:t xml:space="preserve">  The Companies estimate that the Commission will approve the Deployment Plan in October, 2012.  Plan at 6.</w:t>
      </w:r>
    </w:p>
    <w:p w:rsidR="00DD5618" w:rsidRDefault="00DD5618" w:rsidP="003B4687">
      <w:pPr>
        <w:spacing w:line="360" w:lineRule="auto"/>
        <w:ind w:firstLine="1440"/>
        <w:rPr>
          <w:sz w:val="26"/>
          <w:szCs w:val="26"/>
        </w:rPr>
      </w:pPr>
    </w:p>
    <w:p w:rsidR="00432F1E" w:rsidRDefault="00432F1E" w:rsidP="00432F1E">
      <w:pPr>
        <w:spacing w:line="360" w:lineRule="auto"/>
        <w:ind w:firstLine="1440"/>
        <w:rPr>
          <w:sz w:val="26"/>
          <w:szCs w:val="26"/>
        </w:rPr>
      </w:pPr>
      <w:r>
        <w:rPr>
          <w:sz w:val="26"/>
          <w:szCs w:val="26"/>
        </w:rPr>
        <w:t>At present, the Companies expect to begin building-out the necessary infrastructure beginning in April 2013.  They also anticipate performing a technical trial prior to December 31, 2013.  This technical trial is expected to involve the deployment and testing of 5,000 to 10,000 smart meters.  Following this test, the Companies</w:t>
      </w:r>
      <w:r w:rsidR="00270529">
        <w:rPr>
          <w:sz w:val="26"/>
          <w:szCs w:val="26"/>
        </w:rPr>
        <w:t xml:space="preserve"> expect to </w:t>
      </w:r>
      <w:r>
        <w:rPr>
          <w:sz w:val="26"/>
          <w:szCs w:val="26"/>
        </w:rPr>
        <w:t>complet</w:t>
      </w:r>
      <w:r w:rsidR="00270529">
        <w:rPr>
          <w:sz w:val="26"/>
          <w:szCs w:val="26"/>
        </w:rPr>
        <w:t>e</w:t>
      </w:r>
      <w:r>
        <w:rPr>
          <w:sz w:val="26"/>
          <w:szCs w:val="26"/>
        </w:rPr>
        <w:t xml:space="preserve"> the build-out of the necessary infrastructure and </w:t>
      </w:r>
      <w:r w:rsidR="00270529">
        <w:rPr>
          <w:sz w:val="26"/>
          <w:szCs w:val="26"/>
        </w:rPr>
        <w:t xml:space="preserve">“de-bug” the system </w:t>
      </w:r>
      <w:r>
        <w:rPr>
          <w:sz w:val="26"/>
          <w:szCs w:val="26"/>
        </w:rPr>
        <w:t xml:space="preserve">with at least 60,000 meters prior to full deployment.  </w:t>
      </w:r>
      <w:r w:rsidR="00B55DC4">
        <w:rPr>
          <w:sz w:val="26"/>
          <w:szCs w:val="26"/>
        </w:rPr>
        <w:t>FirstEnergy</w:t>
      </w:r>
      <w:r>
        <w:rPr>
          <w:sz w:val="26"/>
          <w:szCs w:val="26"/>
        </w:rPr>
        <w:t xml:space="preserve"> MB at 4.  </w:t>
      </w:r>
      <w:r w:rsidR="00270529">
        <w:rPr>
          <w:sz w:val="26"/>
          <w:szCs w:val="26"/>
        </w:rPr>
        <w:t xml:space="preserve">Full deployment </w:t>
      </w:r>
      <w:r w:rsidR="00D83FC8">
        <w:rPr>
          <w:sz w:val="26"/>
          <w:szCs w:val="26"/>
        </w:rPr>
        <w:t xml:space="preserve">is estimated to </w:t>
      </w:r>
      <w:r w:rsidR="00270529">
        <w:rPr>
          <w:sz w:val="26"/>
          <w:szCs w:val="26"/>
        </w:rPr>
        <w:t xml:space="preserve">commence </w:t>
      </w:r>
      <w:r w:rsidR="00D83FC8">
        <w:rPr>
          <w:sz w:val="26"/>
          <w:szCs w:val="26"/>
        </w:rPr>
        <w:t xml:space="preserve">in </w:t>
      </w:r>
      <w:r w:rsidR="00270529">
        <w:rPr>
          <w:sz w:val="26"/>
          <w:szCs w:val="26"/>
        </w:rPr>
        <w:t xml:space="preserve">April 2017 and be completed </w:t>
      </w:r>
      <w:r w:rsidR="00D83FC8">
        <w:rPr>
          <w:sz w:val="26"/>
          <w:szCs w:val="26"/>
        </w:rPr>
        <w:t>in</w:t>
      </w:r>
      <w:r w:rsidR="00270529">
        <w:rPr>
          <w:sz w:val="26"/>
          <w:szCs w:val="26"/>
        </w:rPr>
        <w:t xml:space="preserve"> March 2022.  Plan at 6.</w:t>
      </w:r>
    </w:p>
    <w:p w:rsidR="00F62BCA" w:rsidRDefault="00F62BCA" w:rsidP="003B4687">
      <w:pPr>
        <w:spacing w:line="360" w:lineRule="auto"/>
        <w:ind w:firstLine="1440"/>
        <w:rPr>
          <w:sz w:val="26"/>
          <w:szCs w:val="26"/>
        </w:rPr>
      </w:pPr>
    </w:p>
    <w:p w:rsidR="0076116D" w:rsidRDefault="0080282F" w:rsidP="0080282F">
      <w:pPr>
        <w:pStyle w:val="Heading2"/>
      </w:pPr>
      <w:bookmarkStart w:id="19" w:name="_Toc259798200"/>
      <w:bookmarkStart w:id="20" w:name="_Toc263848832"/>
      <w:r>
        <w:t>C.</w:t>
      </w:r>
      <w:r>
        <w:tab/>
        <w:t>Cost Recovery</w:t>
      </w:r>
      <w:bookmarkEnd w:id="19"/>
      <w:bookmarkEnd w:id="20"/>
      <w:r>
        <w:t xml:space="preserve"> </w:t>
      </w:r>
    </w:p>
    <w:p w:rsidR="0080282F" w:rsidRDefault="0080282F" w:rsidP="003B4687">
      <w:pPr>
        <w:spacing w:line="360" w:lineRule="auto"/>
        <w:ind w:firstLine="1440"/>
        <w:rPr>
          <w:sz w:val="26"/>
          <w:szCs w:val="26"/>
        </w:rPr>
      </w:pPr>
    </w:p>
    <w:p w:rsidR="00A513A6" w:rsidRDefault="00970646" w:rsidP="003B4687">
      <w:pPr>
        <w:spacing w:line="360" w:lineRule="auto"/>
        <w:ind w:firstLine="1440"/>
        <w:rPr>
          <w:sz w:val="26"/>
          <w:szCs w:val="26"/>
        </w:rPr>
      </w:pPr>
      <w:r>
        <w:rPr>
          <w:sz w:val="26"/>
          <w:szCs w:val="26"/>
        </w:rPr>
        <w:t xml:space="preserve">The Companies expect to incur costs </w:t>
      </w:r>
      <w:r w:rsidR="00D04059">
        <w:rPr>
          <w:sz w:val="26"/>
          <w:szCs w:val="26"/>
        </w:rPr>
        <w:t xml:space="preserve">of approximately $29.5 million </w:t>
      </w:r>
      <w:r>
        <w:rPr>
          <w:sz w:val="26"/>
          <w:szCs w:val="26"/>
        </w:rPr>
        <w:t xml:space="preserve">during the Assessment Period.  </w:t>
      </w:r>
      <w:r w:rsidR="00CC75DC">
        <w:rPr>
          <w:sz w:val="26"/>
          <w:szCs w:val="26"/>
        </w:rPr>
        <w:t xml:space="preserve">The total cost to deploy smart meters is expected to be about $330-$400 million, not including operation and maintenance expenses.  The Companies, however, are not able to provide definitive cost data at this time.  Consequently, they ask permission to file such cost data </w:t>
      </w:r>
      <w:r w:rsidR="00A513A6">
        <w:rPr>
          <w:sz w:val="26"/>
          <w:szCs w:val="26"/>
        </w:rPr>
        <w:t xml:space="preserve">in the Deployment Plan. </w:t>
      </w:r>
      <w:r w:rsidR="00D04059">
        <w:rPr>
          <w:sz w:val="26"/>
          <w:szCs w:val="26"/>
        </w:rPr>
        <w:t xml:space="preserve"> Joint Petition </w:t>
      </w:r>
      <w:r w:rsidR="00A513A6">
        <w:rPr>
          <w:sz w:val="26"/>
          <w:szCs w:val="26"/>
        </w:rPr>
        <w:t>at ¶</w:t>
      </w:r>
      <w:r w:rsidR="00D04059">
        <w:rPr>
          <w:sz w:val="26"/>
          <w:szCs w:val="26"/>
        </w:rPr>
        <w:t>¶</w:t>
      </w:r>
      <w:r w:rsidR="00A513A6">
        <w:rPr>
          <w:sz w:val="26"/>
          <w:szCs w:val="26"/>
        </w:rPr>
        <w:t xml:space="preserve"> 27</w:t>
      </w:r>
      <w:r w:rsidR="00D04059">
        <w:rPr>
          <w:sz w:val="26"/>
          <w:szCs w:val="26"/>
        </w:rPr>
        <w:t>-28</w:t>
      </w:r>
      <w:r w:rsidR="00A513A6">
        <w:rPr>
          <w:sz w:val="26"/>
          <w:szCs w:val="26"/>
        </w:rPr>
        <w:t>.</w:t>
      </w:r>
    </w:p>
    <w:p w:rsidR="00A513A6" w:rsidRDefault="00A513A6" w:rsidP="003B4687">
      <w:pPr>
        <w:spacing w:line="360" w:lineRule="auto"/>
        <w:ind w:firstLine="1440"/>
        <w:rPr>
          <w:sz w:val="26"/>
          <w:szCs w:val="26"/>
        </w:rPr>
      </w:pPr>
    </w:p>
    <w:p w:rsidR="00AE6584" w:rsidRDefault="00A513A6" w:rsidP="00682A9C">
      <w:pPr>
        <w:spacing w:line="360" w:lineRule="auto"/>
        <w:ind w:firstLine="1440"/>
        <w:rPr>
          <w:sz w:val="26"/>
          <w:szCs w:val="26"/>
        </w:rPr>
      </w:pPr>
      <w:r>
        <w:rPr>
          <w:sz w:val="26"/>
          <w:szCs w:val="26"/>
        </w:rPr>
        <w:t>The</w:t>
      </w:r>
      <w:r w:rsidR="00D04059">
        <w:rPr>
          <w:sz w:val="26"/>
          <w:szCs w:val="26"/>
        </w:rPr>
        <w:t xml:space="preserve"> Companies propose to recover their smart meter technology costs through a reconcilable adjustment clause called the Smart Meter Technologies Charge (SMT-C).  </w:t>
      </w:r>
      <w:r w:rsidR="00682A9C">
        <w:rPr>
          <w:sz w:val="26"/>
          <w:szCs w:val="26"/>
        </w:rPr>
        <w:t>The ALJ summarized the principal elements of the SMT-C as follows:</w:t>
      </w:r>
    </w:p>
    <w:p w:rsidR="00AE6584" w:rsidRDefault="00AE6584" w:rsidP="00FF6B96">
      <w:pPr>
        <w:ind w:firstLine="1440"/>
        <w:rPr>
          <w:sz w:val="26"/>
          <w:szCs w:val="26"/>
        </w:rPr>
      </w:pPr>
    </w:p>
    <w:p w:rsidR="004512C8" w:rsidRPr="0054159B" w:rsidRDefault="004512C8" w:rsidP="0054159B">
      <w:pPr>
        <w:pStyle w:val="ListParagraph"/>
        <w:numPr>
          <w:ilvl w:val="0"/>
          <w:numId w:val="24"/>
        </w:numPr>
        <w:ind w:right="1440" w:hanging="720"/>
        <w:rPr>
          <w:sz w:val="26"/>
          <w:szCs w:val="26"/>
        </w:rPr>
      </w:pPr>
      <w:r w:rsidRPr="0054159B">
        <w:rPr>
          <w:sz w:val="26"/>
          <w:szCs w:val="26"/>
        </w:rPr>
        <w:t>The SMT-C will be expressed as a monthly customer charge.</w:t>
      </w:r>
    </w:p>
    <w:p w:rsidR="004512C8" w:rsidRPr="0054159B" w:rsidRDefault="004512C8" w:rsidP="0054159B">
      <w:pPr>
        <w:pStyle w:val="ListParagraph"/>
        <w:numPr>
          <w:ilvl w:val="0"/>
          <w:numId w:val="24"/>
        </w:numPr>
        <w:ind w:right="1440" w:hanging="720"/>
        <w:rPr>
          <w:sz w:val="26"/>
          <w:szCs w:val="26"/>
        </w:rPr>
      </w:pPr>
      <w:r w:rsidRPr="0054159B">
        <w:rPr>
          <w:sz w:val="26"/>
          <w:szCs w:val="26"/>
        </w:rPr>
        <w:t>The SMT-C will be billed to all metered customer accounts eligible for the installation of smart meters and will be non-bypassable.</w:t>
      </w:r>
    </w:p>
    <w:p w:rsidR="004512C8" w:rsidRPr="0054159B" w:rsidRDefault="004512C8" w:rsidP="0054159B">
      <w:pPr>
        <w:pStyle w:val="ListParagraph"/>
        <w:numPr>
          <w:ilvl w:val="0"/>
          <w:numId w:val="24"/>
        </w:numPr>
        <w:ind w:right="1440" w:hanging="720"/>
        <w:rPr>
          <w:sz w:val="26"/>
          <w:szCs w:val="26"/>
        </w:rPr>
      </w:pPr>
      <w:r w:rsidRPr="0054159B">
        <w:rPr>
          <w:sz w:val="26"/>
          <w:szCs w:val="26"/>
        </w:rPr>
        <w:t>The SMT-C will be calculated separately for the residential, commercial and industrial customer classes</w:t>
      </w:r>
      <w:r w:rsidR="0054159B">
        <w:rPr>
          <w:sz w:val="26"/>
          <w:szCs w:val="26"/>
        </w:rPr>
        <w:t>….</w:t>
      </w:r>
    </w:p>
    <w:p w:rsidR="004512C8" w:rsidRPr="0054159B" w:rsidRDefault="004512C8" w:rsidP="0054159B">
      <w:pPr>
        <w:pStyle w:val="ListParagraph"/>
        <w:numPr>
          <w:ilvl w:val="0"/>
          <w:numId w:val="24"/>
        </w:numPr>
        <w:ind w:right="1440" w:hanging="720"/>
        <w:rPr>
          <w:sz w:val="26"/>
          <w:szCs w:val="26"/>
        </w:rPr>
      </w:pPr>
      <w:r w:rsidRPr="0054159B">
        <w:rPr>
          <w:sz w:val="26"/>
          <w:szCs w:val="26"/>
        </w:rPr>
        <w:t>The cost to procure and install smart meters will be directly assigned to each customer class.  All other costs, which cannot be directly assigned (i.e., “common” costs) will be allocated among customer classes based on the number of customers in each class.</w:t>
      </w:r>
    </w:p>
    <w:p w:rsidR="004512C8" w:rsidRPr="0054159B" w:rsidRDefault="004512C8" w:rsidP="0054159B">
      <w:pPr>
        <w:pStyle w:val="ListParagraph"/>
        <w:numPr>
          <w:ilvl w:val="0"/>
          <w:numId w:val="24"/>
        </w:numPr>
        <w:ind w:right="1440" w:hanging="720"/>
        <w:rPr>
          <w:sz w:val="26"/>
          <w:szCs w:val="26"/>
        </w:rPr>
      </w:pPr>
      <w:r w:rsidRPr="0054159B">
        <w:rPr>
          <w:sz w:val="26"/>
          <w:szCs w:val="26"/>
        </w:rPr>
        <w:t>The SMT-C Riders will become effective for service rendered on and after April 1, 2010, and the initial SMT-C will be in effect for the period from April 1, 2010 to March 31, 2011.  The initial SMT-C rates and supporting calculation will be filed within 30 days of the Commission’s entry of a final Order approving the Companies’ Smart Meter Plan.</w:t>
      </w:r>
    </w:p>
    <w:p w:rsidR="004512C8" w:rsidRPr="0054159B" w:rsidRDefault="004512C8" w:rsidP="0054159B">
      <w:pPr>
        <w:pStyle w:val="ListParagraph"/>
        <w:numPr>
          <w:ilvl w:val="0"/>
          <w:numId w:val="24"/>
        </w:numPr>
        <w:ind w:right="1440" w:hanging="720"/>
        <w:rPr>
          <w:sz w:val="26"/>
          <w:szCs w:val="26"/>
        </w:rPr>
      </w:pPr>
      <w:r w:rsidRPr="0054159B">
        <w:rPr>
          <w:sz w:val="26"/>
          <w:szCs w:val="26"/>
        </w:rPr>
        <w:t>After the initial SMT-C, subsequent proposed SMT-C rates and accompanying information will be filed by March 1 of each year to become effective on April 1 of the same year and remain in effect for 12 months.  Accordingly, the SMT-C Computation Year will be the 12 months beginning on April 1 and ending March 31 of the following year.  The SMT-C Reconciliation Year will be the 12 months ending January 31 immediately preceding the Computation Year.  Interim adjustments to the SMT-C will be permitted to avoid large anticipated over or under-collections.</w:t>
      </w:r>
    </w:p>
    <w:p w:rsidR="004512C8" w:rsidRPr="0054159B" w:rsidRDefault="004512C8" w:rsidP="0054159B">
      <w:pPr>
        <w:pStyle w:val="ListParagraph"/>
        <w:numPr>
          <w:ilvl w:val="0"/>
          <w:numId w:val="24"/>
        </w:numPr>
        <w:ind w:right="1440" w:hanging="720"/>
        <w:rPr>
          <w:sz w:val="26"/>
          <w:szCs w:val="26"/>
        </w:rPr>
      </w:pPr>
      <w:r w:rsidRPr="0054159B">
        <w:rPr>
          <w:sz w:val="26"/>
          <w:szCs w:val="26"/>
        </w:rPr>
        <w:t xml:space="preserve">Subject to the Commission’s review for prudence and reasonableness, the SMT-C will recover two categories of smart meter technology costs: (a) start up costs incurred by the Companies prior to April 1, 2010, which will be amortized over the 12 months ending March 31, 2011 with interest, based on the legal rate, on the unamortized </w:t>
      </w:r>
      <w:r w:rsidRPr="0054159B">
        <w:rPr>
          <w:sz w:val="26"/>
          <w:szCs w:val="26"/>
        </w:rPr>
        <w:lastRenderedPageBreak/>
        <w:t>balance; (b) all of the smart meter technology costs the Companies will incur during the Computation Year, consisting of both capital costs (pre-tax return and depreciation) on smart meter capital expenditures and operating and maintenance expenses including an allocated portion of indirect costs.</w:t>
      </w:r>
      <w:r w:rsidR="00F058AF">
        <w:rPr>
          <w:rFonts w:ascii="Times New (W1)" w:hAnsi="Times New (W1)"/>
          <w:sz w:val="26"/>
          <w:szCs w:val="26"/>
          <w:vertAlign w:val="superscript"/>
        </w:rPr>
        <w:t>1</w:t>
      </w:r>
    </w:p>
    <w:p w:rsidR="004512C8" w:rsidRPr="0054159B" w:rsidRDefault="004512C8" w:rsidP="0054159B">
      <w:pPr>
        <w:pStyle w:val="ListParagraph"/>
        <w:numPr>
          <w:ilvl w:val="0"/>
          <w:numId w:val="24"/>
        </w:numPr>
        <w:ind w:right="1440" w:hanging="720"/>
        <w:rPr>
          <w:sz w:val="26"/>
          <w:szCs w:val="26"/>
        </w:rPr>
      </w:pPr>
      <w:r w:rsidRPr="0054159B">
        <w:rPr>
          <w:sz w:val="26"/>
          <w:szCs w:val="26"/>
        </w:rPr>
        <w:t>The return on smart meter capital expenditures will be calculated for all three Companies using: (a) the normalized capital structures of 51% long-term debt and 49% common equity that were approved by the Commission’s January 11, 2007 final Order in Met-Ed’s and Penelec’s most recent base rate cases at Docket Nos. R-00061366 and R-00061367; (b) the Companies’ actual weighted average long-term debt cost rate shown in each Company’s most recent calendar year Financial Report filed with the Commission; and (c) the common equity return rate of 10.1% approved by the Commission for Met-Ed and Penelec in their most recent base rate cases.</w:t>
      </w:r>
    </w:p>
    <w:p w:rsidR="004512C8" w:rsidRPr="0054159B" w:rsidRDefault="004512C8" w:rsidP="0054159B">
      <w:pPr>
        <w:pStyle w:val="ListParagraph"/>
        <w:numPr>
          <w:ilvl w:val="0"/>
          <w:numId w:val="24"/>
        </w:numPr>
        <w:ind w:right="1440" w:hanging="720"/>
        <w:rPr>
          <w:sz w:val="26"/>
          <w:szCs w:val="26"/>
          <w:u w:val="single"/>
        </w:rPr>
      </w:pPr>
      <w:r w:rsidRPr="0054159B">
        <w:rPr>
          <w:sz w:val="26"/>
          <w:szCs w:val="26"/>
        </w:rPr>
        <w:t xml:space="preserve">The SMT-C will be fully reconcilable.  Interest on over and under-collections will accrue at the legal rate set forth </w:t>
      </w:r>
      <w:r w:rsidRPr="00DC3386">
        <w:rPr>
          <w:sz w:val="26"/>
          <w:szCs w:val="26"/>
          <w:u w:val="single"/>
        </w:rPr>
        <w:t>in 41 P.S. §</w:t>
      </w:r>
      <w:r w:rsidRPr="0054159B">
        <w:rPr>
          <w:sz w:val="26"/>
          <w:szCs w:val="26"/>
          <w:u w:val="single"/>
        </w:rPr>
        <w:t xml:space="preserve"> 202 (currently 6.0%).</w:t>
      </w:r>
    </w:p>
    <w:p w:rsidR="00BF06E2" w:rsidRPr="0054159B" w:rsidRDefault="00BF06E2" w:rsidP="00DC3386">
      <w:pPr>
        <w:ind w:left="720" w:right="1440" w:firstLine="720"/>
        <w:rPr>
          <w:sz w:val="26"/>
          <w:szCs w:val="26"/>
        </w:rPr>
      </w:pPr>
      <w:r w:rsidRPr="0054159B">
        <w:rPr>
          <w:rStyle w:val="FootnoteReference"/>
          <w:sz w:val="26"/>
          <w:szCs w:val="26"/>
        </w:rPr>
        <w:footnoteRef/>
      </w:r>
      <w:r w:rsidRPr="0054159B">
        <w:rPr>
          <w:sz w:val="26"/>
          <w:szCs w:val="26"/>
        </w:rPr>
        <w:t xml:space="preserve"> </w:t>
      </w:r>
      <w:r w:rsidRPr="0054159B">
        <w:rPr>
          <w:sz w:val="26"/>
          <w:szCs w:val="26"/>
        </w:rPr>
        <w:tab/>
        <w:t>The Companies also propose that the unrecovered original cost of existing meters being replaced by smart meters should continue to be recovered in current base rates.  Accordingly, the SMT-C would not include any costs to recover the remaining original cost of the Comp</w:t>
      </w:r>
      <w:r w:rsidR="002D3825">
        <w:rPr>
          <w:sz w:val="26"/>
          <w:szCs w:val="26"/>
        </w:rPr>
        <w:t>anies’ existing meters.</w:t>
      </w:r>
      <w:r w:rsidR="00AD219A" w:rsidRPr="0054159B">
        <w:rPr>
          <w:sz w:val="26"/>
          <w:szCs w:val="26"/>
        </w:rPr>
        <w:t>...</w:t>
      </w:r>
    </w:p>
    <w:p w:rsidR="003434DB" w:rsidRDefault="003434DB" w:rsidP="004512C8">
      <w:pPr>
        <w:ind w:left="1440" w:right="1440"/>
        <w:rPr>
          <w:sz w:val="26"/>
          <w:szCs w:val="26"/>
        </w:rPr>
      </w:pPr>
    </w:p>
    <w:p w:rsidR="003434DB" w:rsidRDefault="003434DB" w:rsidP="004512C8">
      <w:pPr>
        <w:ind w:left="1440" w:right="1440"/>
        <w:rPr>
          <w:sz w:val="26"/>
          <w:szCs w:val="26"/>
        </w:rPr>
      </w:pPr>
    </w:p>
    <w:p w:rsidR="00DD5618" w:rsidRDefault="00814BDD" w:rsidP="004512C8">
      <w:pPr>
        <w:spacing w:line="360" w:lineRule="auto"/>
        <w:rPr>
          <w:sz w:val="26"/>
          <w:szCs w:val="26"/>
        </w:rPr>
      </w:pPr>
      <w:r>
        <w:rPr>
          <w:sz w:val="26"/>
          <w:szCs w:val="26"/>
        </w:rPr>
        <w:t xml:space="preserve"> </w:t>
      </w:r>
      <w:r w:rsidR="00A513A6">
        <w:rPr>
          <w:sz w:val="26"/>
          <w:szCs w:val="26"/>
        </w:rPr>
        <w:t xml:space="preserve">  </w:t>
      </w:r>
      <w:r w:rsidR="004512C8">
        <w:rPr>
          <w:sz w:val="26"/>
          <w:szCs w:val="26"/>
        </w:rPr>
        <w:t>I.D. at 31-32.</w:t>
      </w:r>
    </w:p>
    <w:p w:rsidR="00CC75DC" w:rsidRDefault="00CC75DC" w:rsidP="003B4687">
      <w:pPr>
        <w:spacing w:line="360" w:lineRule="auto"/>
        <w:ind w:firstLine="1440"/>
        <w:rPr>
          <w:sz w:val="26"/>
          <w:szCs w:val="26"/>
        </w:rPr>
      </w:pPr>
    </w:p>
    <w:p w:rsidR="00CC75DC" w:rsidRDefault="00CC75DC" w:rsidP="003B4687">
      <w:pPr>
        <w:spacing w:line="360" w:lineRule="auto"/>
        <w:ind w:firstLine="1440"/>
        <w:rPr>
          <w:sz w:val="26"/>
          <w:szCs w:val="26"/>
        </w:rPr>
      </w:pPr>
    </w:p>
    <w:p w:rsidR="00DD5618" w:rsidRDefault="00DD5618" w:rsidP="003B4687">
      <w:pPr>
        <w:spacing w:line="360" w:lineRule="auto"/>
        <w:ind w:firstLine="1440"/>
        <w:rPr>
          <w:sz w:val="26"/>
          <w:szCs w:val="26"/>
        </w:rPr>
      </w:pPr>
    </w:p>
    <w:p w:rsidR="00837590" w:rsidRPr="00D37710" w:rsidRDefault="00DD5618" w:rsidP="003B4687">
      <w:pPr>
        <w:spacing w:line="360" w:lineRule="auto"/>
        <w:ind w:firstLine="1440"/>
        <w:rPr>
          <w:sz w:val="26"/>
          <w:szCs w:val="26"/>
        </w:rPr>
      </w:pPr>
      <w:r>
        <w:rPr>
          <w:sz w:val="26"/>
          <w:szCs w:val="26"/>
        </w:rPr>
        <w:t xml:space="preserve"> </w:t>
      </w:r>
    </w:p>
    <w:p w:rsidR="00D37710" w:rsidRPr="00D37710" w:rsidRDefault="004933B3">
      <w:pPr>
        <w:spacing w:after="200" w:line="276" w:lineRule="auto"/>
        <w:rPr>
          <w:sz w:val="26"/>
          <w:szCs w:val="26"/>
        </w:rPr>
      </w:pPr>
      <w:bookmarkStart w:id="21" w:name="_Toc242516221"/>
      <w:r w:rsidRPr="00D37710">
        <w:rPr>
          <w:sz w:val="26"/>
          <w:szCs w:val="26"/>
        </w:rPr>
        <w:br w:type="page"/>
      </w:r>
    </w:p>
    <w:p w:rsidR="001A395D" w:rsidRPr="0056717C" w:rsidRDefault="00B6382E" w:rsidP="00B858C2">
      <w:pPr>
        <w:pStyle w:val="Heading1"/>
        <w:rPr>
          <w:szCs w:val="26"/>
        </w:rPr>
      </w:pPr>
      <w:bookmarkStart w:id="22" w:name="_Toc259798201"/>
      <w:bookmarkStart w:id="23" w:name="_Toc263848833"/>
      <w:r>
        <w:rPr>
          <w:szCs w:val="26"/>
        </w:rPr>
        <w:lastRenderedPageBreak/>
        <w:t xml:space="preserve">V.  </w:t>
      </w:r>
      <w:r w:rsidR="006F4B78">
        <w:rPr>
          <w:szCs w:val="26"/>
        </w:rPr>
        <w:tab/>
      </w:r>
      <w:r w:rsidR="001A395D" w:rsidRPr="0056717C">
        <w:rPr>
          <w:szCs w:val="26"/>
        </w:rPr>
        <w:t>Discussion</w:t>
      </w:r>
      <w:bookmarkEnd w:id="21"/>
      <w:bookmarkEnd w:id="22"/>
      <w:bookmarkEnd w:id="23"/>
    </w:p>
    <w:p w:rsidR="00422F86" w:rsidRDefault="00422F86" w:rsidP="00DB1424">
      <w:pPr>
        <w:spacing w:line="360" w:lineRule="auto"/>
        <w:ind w:firstLine="1440"/>
        <w:rPr>
          <w:sz w:val="26"/>
          <w:szCs w:val="26"/>
        </w:rPr>
      </w:pPr>
    </w:p>
    <w:p w:rsidR="008333CE" w:rsidRDefault="008333CE" w:rsidP="008333CE">
      <w:pPr>
        <w:spacing w:line="360" w:lineRule="auto"/>
        <w:ind w:firstLine="1440"/>
        <w:rPr>
          <w:sz w:val="26"/>
        </w:rPr>
      </w:pPr>
      <w:r>
        <w:rPr>
          <w:sz w:val="26"/>
          <w:szCs w:val="26"/>
        </w:rPr>
        <w:t xml:space="preserve">In Commission proceedings, </w:t>
      </w:r>
      <w:r w:rsidRPr="008F0B41">
        <w:rPr>
          <w:sz w:val="26"/>
          <w:szCs w:val="26"/>
        </w:rPr>
        <w:t>the proponent of a rule or order</w:t>
      </w:r>
      <w:r>
        <w:rPr>
          <w:sz w:val="26"/>
          <w:szCs w:val="26"/>
        </w:rPr>
        <w:t xml:space="preserve"> bears</w:t>
      </w:r>
      <w:r w:rsidRPr="008F0B41">
        <w:rPr>
          <w:sz w:val="26"/>
          <w:szCs w:val="26"/>
        </w:rPr>
        <w:t xml:space="preserve"> the burden of </w:t>
      </w:r>
      <w:r>
        <w:rPr>
          <w:sz w:val="26"/>
          <w:szCs w:val="26"/>
        </w:rPr>
        <w:t>p</w:t>
      </w:r>
      <w:r w:rsidRPr="008F0B41">
        <w:rPr>
          <w:sz w:val="26"/>
          <w:szCs w:val="26"/>
        </w:rPr>
        <w:t>roof</w:t>
      </w:r>
      <w:r>
        <w:rPr>
          <w:sz w:val="26"/>
          <w:szCs w:val="26"/>
        </w:rPr>
        <w:t xml:space="preserve">. </w:t>
      </w:r>
      <w:r w:rsidRPr="008F0B41">
        <w:rPr>
          <w:sz w:val="26"/>
          <w:szCs w:val="26"/>
        </w:rPr>
        <w:t xml:space="preserve"> 66 Pa. C.S. § 332(a).  </w:t>
      </w:r>
      <w:r>
        <w:rPr>
          <w:sz w:val="26"/>
          <w:szCs w:val="26"/>
        </w:rPr>
        <w:t xml:space="preserve">To satisfy that burden, the proponent of a rule or order must prove each element of its case by a preponderance of the evidence.  </w:t>
      </w:r>
      <w:r w:rsidRPr="008F0B41">
        <w:rPr>
          <w:i/>
          <w:iCs/>
          <w:sz w:val="26"/>
          <w:szCs w:val="26"/>
        </w:rPr>
        <w:t>Samuel J. Lansberry, Inc. v. P</w:t>
      </w:r>
      <w:r>
        <w:rPr>
          <w:i/>
          <w:iCs/>
          <w:sz w:val="26"/>
          <w:szCs w:val="26"/>
        </w:rPr>
        <w:t>a. PUC</w:t>
      </w:r>
      <w:r w:rsidRPr="008F0B41">
        <w:rPr>
          <w:sz w:val="26"/>
          <w:szCs w:val="26"/>
        </w:rPr>
        <w:t>, 578 A.2d 600 (Pa. C</w:t>
      </w:r>
      <w:r>
        <w:rPr>
          <w:sz w:val="26"/>
          <w:szCs w:val="26"/>
        </w:rPr>
        <w:t>m</w:t>
      </w:r>
      <w:r w:rsidRPr="008F0B41">
        <w:rPr>
          <w:sz w:val="26"/>
          <w:szCs w:val="26"/>
        </w:rPr>
        <w:t>w</w:t>
      </w:r>
      <w:r>
        <w:rPr>
          <w:sz w:val="26"/>
          <w:szCs w:val="26"/>
        </w:rPr>
        <w:t>lth</w:t>
      </w:r>
      <w:r w:rsidRPr="008F0B41">
        <w:rPr>
          <w:sz w:val="26"/>
          <w:szCs w:val="26"/>
        </w:rPr>
        <w:t xml:space="preserve">. 1990).  </w:t>
      </w:r>
      <w:r>
        <w:rPr>
          <w:sz w:val="26"/>
          <w:szCs w:val="26"/>
        </w:rPr>
        <w:t xml:space="preserve">A preponderance of the evidence is established by presenting evidence that is more convincing, by even the smallest amount, than that presented by the other parties to the case.  </w:t>
      </w:r>
      <w:r>
        <w:rPr>
          <w:i/>
          <w:sz w:val="26"/>
          <w:szCs w:val="26"/>
        </w:rPr>
        <w:t xml:space="preserve">Se-Ling Hosiery v. </w:t>
      </w:r>
      <w:r w:rsidR="001C010A">
        <w:rPr>
          <w:i/>
          <w:sz w:val="26"/>
          <w:szCs w:val="26"/>
        </w:rPr>
        <w:t>Marg</w:t>
      </w:r>
      <w:r w:rsidRPr="00122405">
        <w:rPr>
          <w:i/>
          <w:sz w:val="26"/>
          <w:szCs w:val="26"/>
        </w:rPr>
        <w:t>ulies</w:t>
      </w:r>
      <w:r>
        <w:rPr>
          <w:sz w:val="26"/>
          <w:szCs w:val="26"/>
        </w:rPr>
        <w:t xml:space="preserve">, 364 Pa. 45, 70 A.2d 854 (1950).  </w:t>
      </w:r>
      <w:r w:rsidRPr="00122405">
        <w:rPr>
          <w:sz w:val="26"/>
          <w:szCs w:val="26"/>
        </w:rPr>
        <w:t>Additionally</w:t>
      </w:r>
      <w:r w:rsidRPr="008F0B41">
        <w:rPr>
          <w:sz w:val="26"/>
          <w:szCs w:val="26"/>
        </w:rPr>
        <w:t xml:space="preserve">, </w:t>
      </w:r>
      <w:r>
        <w:rPr>
          <w:sz w:val="26"/>
          <w:szCs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r>
        <w:rPr>
          <w:i/>
          <w:sz w:val="26"/>
        </w:rPr>
        <w:t xml:space="preserve">Norfolk &amp; Western Ry. Co. v. Pa. PUC, </w:t>
      </w:r>
      <w:r>
        <w:rPr>
          <w:sz w:val="26"/>
        </w:rPr>
        <w:t>489 Pa. 109, 413 A.2d 1037 (1980).</w:t>
      </w:r>
    </w:p>
    <w:p w:rsidR="00412936" w:rsidRDefault="00412936" w:rsidP="00DB1424">
      <w:pPr>
        <w:spacing w:line="360" w:lineRule="auto"/>
        <w:ind w:firstLine="1440"/>
        <w:rPr>
          <w:sz w:val="26"/>
          <w:szCs w:val="26"/>
        </w:rPr>
      </w:pPr>
    </w:p>
    <w:p w:rsidR="00367979" w:rsidRPr="00367979" w:rsidRDefault="008333CE" w:rsidP="00367979">
      <w:pPr>
        <w:spacing w:line="360" w:lineRule="auto"/>
        <w:ind w:firstLine="1440"/>
        <w:rPr>
          <w:sz w:val="26"/>
          <w:szCs w:val="26"/>
        </w:rPr>
      </w:pPr>
      <w:r>
        <w:rPr>
          <w:sz w:val="26"/>
          <w:szCs w:val="26"/>
        </w:rPr>
        <w:t>W</w:t>
      </w:r>
      <w:r w:rsidR="00367979" w:rsidRPr="00AC6C96">
        <w:rPr>
          <w:sz w:val="26"/>
          <w:szCs w:val="26"/>
        </w:rPr>
        <w:t xml:space="preserve">e note that any issue </w:t>
      </w:r>
      <w:r w:rsidR="00D529D0">
        <w:rPr>
          <w:sz w:val="26"/>
          <w:szCs w:val="26"/>
        </w:rPr>
        <w:t xml:space="preserve">or Exception </w:t>
      </w:r>
      <w:r w:rsidR="00367979" w:rsidRPr="00AC6C96">
        <w:rPr>
          <w:sz w:val="26"/>
          <w:szCs w:val="26"/>
        </w:rPr>
        <w:t>that we do not specifically address herein has been duly considered and will be denied without further discussion.  It is well settled that we are not required to consider expressly or at length each conten</w:t>
      </w:r>
      <w:r w:rsidR="00272CBD">
        <w:rPr>
          <w:sz w:val="26"/>
          <w:szCs w:val="26"/>
        </w:rPr>
        <w:t>tion or argument raised by the P</w:t>
      </w:r>
      <w:r w:rsidR="00367979" w:rsidRPr="00AC6C96">
        <w:rPr>
          <w:sz w:val="26"/>
          <w:szCs w:val="26"/>
        </w:rPr>
        <w:t xml:space="preserve">arties.  </w:t>
      </w:r>
      <w:hyperlink r:id="rId10" w:history="1">
        <w:r w:rsidR="00367979" w:rsidRPr="00367979">
          <w:rPr>
            <w:rStyle w:val="Emphasis"/>
            <w:color w:val="000000"/>
            <w:sz w:val="26"/>
            <w:szCs w:val="26"/>
          </w:rPr>
          <w:t>Consolidated Rail Corporation v. Pa. PUC</w:t>
        </w:r>
        <w:r w:rsidR="00367979" w:rsidRPr="00367979">
          <w:rPr>
            <w:rStyle w:val="Hyperlink"/>
            <w:color w:val="000000"/>
            <w:sz w:val="26"/>
            <w:szCs w:val="26"/>
            <w:u w:val="none"/>
          </w:rPr>
          <w:t>, 625 A.2d 741 (Pa. Cmwlth. 1993);</w:t>
        </w:r>
      </w:hyperlink>
      <w:r w:rsidR="00367979" w:rsidRPr="00367979">
        <w:rPr>
          <w:color w:val="000000"/>
          <w:sz w:val="26"/>
          <w:szCs w:val="26"/>
        </w:rPr>
        <w:t xml:space="preserve"> </w:t>
      </w:r>
      <w:r w:rsidR="00367979" w:rsidRPr="00367979">
        <w:rPr>
          <w:rStyle w:val="Emphasis"/>
          <w:color w:val="000000"/>
          <w:sz w:val="26"/>
          <w:szCs w:val="26"/>
        </w:rPr>
        <w:t>see</w:t>
      </w:r>
      <w:r w:rsidR="000662FC">
        <w:rPr>
          <w:rStyle w:val="Emphasis"/>
          <w:color w:val="000000"/>
          <w:sz w:val="26"/>
          <w:szCs w:val="26"/>
        </w:rPr>
        <w:t xml:space="preserve"> also</w:t>
      </w:r>
      <w:r w:rsidR="00367979" w:rsidRPr="00367979">
        <w:rPr>
          <w:rStyle w:val="Emphasis"/>
          <w:color w:val="000000"/>
          <w:sz w:val="26"/>
          <w:szCs w:val="26"/>
        </w:rPr>
        <w:t xml:space="preserve">, generally, </w:t>
      </w:r>
      <w:hyperlink r:id="rId11" w:history="1">
        <w:r w:rsidR="00367979" w:rsidRPr="00367979">
          <w:rPr>
            <w:rStyle w:val="Emphasis"/>
            <w:color w:val="000000"/>
            <w:sz w:val="26"/>
            <w:szCs w:val="26"/>
          </w:rPr>
          <w:t>University of Pennsyl</w:t>
        </w:r>
        <w:r w:rsidR="00367979" w:rsidRPr="00367979">
          <w:rPr>
            <w:rStyle w:val="Emphasis"/>
            <w:color w:val="000000"/>
            <w:sz w:val="26"/>
            <w:szCs w:val="26"/>
          </w:rPr>
          <w:softHyphen/>
          <w:t>vania v. Pa. PUC</w:t>
        </w:r>
        <w:r w:rsidR="00B44C3F">
          <w:rPr>
            <w:rStyle w:val="Hyperlink"/>
            <w:color w:val="000000"/>
            <w:sz w:val="26"/>
            <w:szCs w:val="26"/>
            <w:u w:val="none"/>
          </w:rPr>
          <w:t>, 485 A.2d 1217 (Pa. </w:t>
        </w:r>
        <w:r w:rsidR="00367979" w:rsidRPr="00367979">
          <w:rPr>
            <w:rStyle w:val="Hyperlink"/>
            <w:color w:val="000000"/>
            <w:sz w:val="26"/>
            <w:szCs w:val="26"/>
            <w:u w:val="none"/>
          </w:rPr>
          <w:t>Cmwlth. 1984).</w:t>
        </w:r>
      </w:hyperlink>
      <w:r w:rsidR="00367979" w:rsidRPr="00367979">
        <w:rPr>
          <w:sz w:val="26"/>
          <w:szCs w:val="26"/>
        </w:rPr>
        <w:t xml:space="preserve">  </w:t>
      </w:r>
    </w:p>
    <w:p w:rsidR="002F5812" w:rsidRPr="005F7DB5" w:rsidRDefault="002F5812" w:rsidP="002F5812">
      <w:pPr>
        <w:spacing w:line="360" w:lineRule="auto"/>
        <w:ind w:firstLine="1440"/>
        <w:rPr>
          <w:sz w:val="26"/>
          <w:szCs w:val="26"/>
        </w:rPr>
      </w:pPr>
      <w:bookmarkStart w:id="24" w:name="_Toc242516349"/>
    </w:p>
    <w:p w:rsidR="002F5812" w:rsidRDefault="002F5812" w:rsidP="00DE6617">
      <w:pPr>
        <w:pStyle w:val="Heading2"/>
      </w:pPr>
      <w:bookmarkStart w:id="25" w:name="_Toc259798202"/>
      <w:bookmarkStart w:id="26" w:name="_Toc263848834"/>
      <w:r w:rsidRPr="005F7DB5">
        <w:t>A.</w:t>
      </w:r>
      <w:r w:rsidRPr="005F7DB5">
        <w:tab/>
        <w:t>Non-Cost Issues</w:t>
      </w:r>
      <w:bookmarkEnd w:id="25"/>
      <w:bookmarkEnd w:id="26"/>
    </w:p>
    <w:p w:rsidR="00DE6617" w:rsidRPr="005F7DB5" w:rsidRDefault="00DE6617" w:rsidP="00DE6617">
      <w:pPr>
        <w:spacing w:line="360" w:lineRule="auto"/>
        <w:ind w:firstLine="720"/>
        <w:rPr>
          <w:sz w:val="26"/>
          <w:szCs w:val="26"/>
        </w:rPr>
      </w:pPr>
    </w:p>
    <w:p w:rsidR="002F5812" w:rsidRPr="005F7DB5" w:rsidRDefault="00512F82" w:rsidP="00DE6617">
      <w:pPr>
        <w:pStyle w:val="Heading3"/>
      </w:pPr>
      <w:bookmarkStart w:id="27" w:name="_Toc259798203"/>
      <w:bookmarkStart w:id="28" w:name="_Toc263848835"/>
      <w:r>
        <w:t>1.</w:t>
      </w:r>
      <w:r>
        <w:tab/>
        <w:t>Deployment Process and T</w:t>
      </w:r>
      <w:r w:rsidR="002F5812" w:rsidRPr="005F7DB5">
        <w:t>imeframe</w:t>
      </w:r>
      <w:bookmarkEnd w:id="27"/>
      <w:bookmarkEnd w:id="28"/>
    </w:p>
    <w:p w:rsidR="00DE6617" w:rsidRDefault="00DE6617" w:rsidP="002F5812">
      <w:pPr>
        <w:spacing w:line="360" w:lineRule="auto"/>
        <w:ind w:firstLine="2160"/>
        <w:rPr>
          <w:sz w:val="26"/>
          <w:szCs w:val="26"/>
        </w:rPr>
      </w:pPr>
    </w:p>
    <w:p w:rsidR="00DE6617" w:rsidRDefault="00EB3313" w:rsidP="00EB3313">
      <w:pPr>
        <w:pStyle w:val="Heading4"/>
      </w:pPr>
      <w:bookmarkStart w:id="29" w:name="_Toc259798204"/>
      <w:bookmarkStart w:id="30" w:name="_Toc263848836"/>
      <w:r>
        <w:t>a.</w:t>
      </w:r>
      <w:r>
        <w:tab/>
      </w:r>
      <w:r w:rsidR="00B55DC4">
        <w:t>FirstEnergy</w:t>
      </w:r>
      <w:r>
        <w:t>’s Plan</w:t>
      </w:r>
      <w:bookmarkEnd w:id="29"/>
      <w:bookmarkEnd w:id="30"/>
    </w:p>
    <w:p w:rsidR="00DE6617" w:rsidRDefault="00DE6617" w:rsidP="002F5812">
      <w:pPr>
        <w:spacing w:line="360" w:lineRule="auto"/>
        <w:ind w:firstLine="2160"/>
        <w:rPr>
          <w:sz w:val="26"/>
          <w:szCs w:val="26"/>
        </w:rPr>
      </w:pPr>
    </w:p>
    <w:p w:rsidR="00AC17BA" w:rsidRDefault="00523F11" w:rsidP="00523F11">
      <w:pPr>
        <w:spacing w:line="360" w:lineRule="auto"/>
        <w:ind w:firstLine="1440"/>
        <w:rPr>
          <w:sz w:val="26"/>
          <w:szCs w:val="26"/>
        </w:rPr>
      </w:pPr>
      <w:r>
        <w:rPr>
          <w:sz w:val="26"/>
          <w:szCs w:val="26"/>
        </w:rPr>
        <w:t xml:space="preserve">As stated previously, the Companies’ Plan contains both a short-term plan and a long-term time line based on information currently available.  Joint Petition at ¶ 9; </w:t>
      </w:r>
      <w:r w:rsidR="00B55DC4">
        <w:rPr>
          <w:sz w:val="26"/>
          <w:szCs w:val="26"/>
        </w:rPr>
        <w:t>FirstEnergy</w:t>
      </w:r>
      <w:r>
        <w:rPr>
          <w:sz w:val="26"/>
          <w:szCs w:val="26"/>
        </w:rPr>
        <w:t xml:space="preserve"> MB at 3.</w:t>
      </w:r>
      <w:r w:rsidR="00F63F6D">
        <w:rPr>
          <w:sz w:val="26"/>
          <w:szCs w:val="26"/>
        </w:rPr>
        <w:t xml:space="preserve">  </w:t>
      </w:r>
      <w:r>
        <w:rPr>
          <w:sz w:val="26"/>
          <w:szCs w:val="26"/>
        </w:rPr>
        <w:t xml:space="preserve">The Companies intend to use the Assessment Period to assess </w:t>
      </w:r>
      <w:r>
        <w:rPr>
          <w:sz w:val="26"/>
          <w:szCs w:val="26"/>
        </w:rPr>
        <w:lastRenderedPageBreak/>
        <w:t xml:space="preserve">needs, select technology, secure vendors, train personnel, and install and support test equipment.  </w:t>
      </w:r>
      <w:r w:rsidR="00AC17BA">
        <w:rPr>
          <w:sz w:val="26"/>
          <w:szCs w:val="26"/>
        </w:rPr>
        <w:t xml:space="preserve">The Companies anticipate that the vendor and selection process will start in September, 2010 and continue for almost ten months.  The Companies will then conduct an evaluation of the current legacy systems to assess network design.  This task is expected to commence in January, 2011, and be completed before the end of 2013. </w:t>
      </w:r>
      <w:r w:rsidR="00A404F5">
        <w:rPr>
          <w:sz w:val="26"/>
          <w:szCs w:val="26"/>
        </w:rPr>
        <w:t xml:space="preserve"> </w:t>
      </w:r>
      <w:r w:rsidR="00B55DC4">
        <w:rPr>
          <w:sz w:val="26"/>
          <w:szCs w:val="26"/>
        </w:rPr>
        <w:t>FirstEnergy</w:t>
      </w:r>
      <w:r w:rsidR="00A404F5">
        <w:rPr>
          <w:sz w:val="26"/>
          <w:szCs w:val="26"/>
        </w:rPr>
        <w:t xml:space="preserve"> MB at 4.  </w:t>
      </w:r>
      <w:r w:rsidR="001B72A4">
        <w:rPr>
          <w:sz w:val="26"/>
          <w:szCs w:val="26"/>
        </w:rPr>
        <w:t xml:space="preserve">The Companies expect to submit the Deployment Plan </w:t>
      </w:r>
      <w:r w:rsidR="00FA524E">
        <w:rPr>
          <w:sz w:val="26"/>
          <w:szCs w:val="26"/>
        </w:rPr>
        <w:t xml:space="preserve">to the Commission </w:t>
      </w:r>
      <w:r w:rsidR="001B72A4">
        <w:rPr>
          <w:sz w:val="26"/>
          <w:szCs w:val="26"/>
        </w:rPr>
        <w:t>for approval in April 2012</w:t>
      </w:r>
      <w:r w:rsidR="00FA524E">
        <w:rPr>
          <w:sz w:val="26"/>
          <w:szCs w:val="26"/>
        </w:rPr>
        <w:t>,</w:t>
      </w:r>
      <w:r w:rsidR="002C0FDB">
        <w:rPr>
          <w:sz w:val="26"/>
          <w:szCs w:val="26"/>
        </w:rPr>
        <w:t xml:space="preserve"> and </w:t>
      </w:r>
      <w:r w:rsidR="00B51B49">
        <w:rPr>
          <w:sz w:val="26"/>
          <w:szCs w:val="26"/>
        </w:rPr>
        <w:t xml:space="preserve">they project that the </w:t>
      </w:r>
      <w:r w:rsidR="002C0FDB">
        <w:rPr>
          <w:sz w:val="26"/>
          <w:szCs w:val="26"/>
        </w:rPr>
        <w:t xml:space="preserve">Commission </w:t>
      </w:r>
      <w:r w:rsidR="00B51B49">
        <w:rPr>
          <w:sz w:val="26"/>
          <w:szCs w:val="26"/>
        </w:rPr>
        <w:t xml:space="preserve">will </w:t>
      </w:r>
      <w:r w:rsidR="002C0FDB">
        <w:rPr>
          <w:sz w:val="26"/>
          <w:szCs w:val="26"/>
        </w:rPr>
        <w:t>approv</w:t>
      </w:r>
      <w:r w:rsidR="00B51B49">
        <w:rPr>
          <w:sz w:val="26"/>
          <w:szCs w:val="26"/>
        </w:rPr>
        <w:t xml:space="preserve">e the Deployment Plan about </w:t>
      </w:r>
      <w:r w:rsidR="001B72A4">
        <w:rPr>
          <w:sz w:val="26"/>
          <w:szCs w:val="26"/>
        </w:rPr>
        <w:t>October 2012</w:t>
      </w:r>
      <w:r w:rsidR="00B51B49">
        <w:rPr>
          <w:sz w:val="26"/>
          <w:szCs w:val="26"/>
        </w:rPr>
        <w:t xml:space="preserve"> (</w:t>
      </w:r>
      <w:r w:rsidR="001B72A4">
        <w:rPr>
          <w:sz w:val="26"/>
          <w:szCs w:val="26"/>
        </w:rPr>
        <w:t>when the Grace Period expires</w:t>
      </w:r>
      <w:r w:rsidR="00B51B49">
        <w:rPr>
          <w:sz w:val="26"/>
          <w:szCs w:val="26"/>
        </w:rPr>
        <w:t>)</w:t>
      </w:r>
      <w:r w:rsidR="001B72A4">
        <w:rPr>
          <w:sz w:val="26"/>
          <w:szCs w:val="26"/>
        </w:rPr>
        <w:t>.</w:t>
      </w:r>
      <w:r w:rsidR="00B51B49">
        <w:rPr>
          <w:sz w:val="26"/>
          <w:szCs w:val="26"/>
        </w:rPr>
        <w:t xml:space="preserve">  Plan at 6.</w:t>
      </w:r>
    </w:p>
    <w:p w:rsidR="00AC17BA" w:rsidRDefault="00AC17BA" w:rsidP="00523F11">
      <w:pPr>
        <w:spacing w:line="360" w:lineRule="auto"/>
        <w:ind w:firstLine="1440"/>
        <w:rPr>
          <w:sz w:val="26"/>
          <w:szCs w:val="26"/>
        </w:rPr>
      </w:pPr>
    </w:p>
    <w:p w:rsidR="00523F11" w:rsidRDefault="00523F11" w:rsidP="00523F11">
      <w:pPr>
        <w:spacing w:line="360" w:lineRule="auto"/>
        <w:ind w:firstLine="1440"/>
        <w:rPr>
          <w:sz w:val="26"/>
          <w:szCs w:val="26"/>
        </w:rPr>
      </w:pPr>
      <w:r>
        <w:rPr>
          <w:sz w:val="26"/>
          <w:szCs w:val="26"/>
        </w:rPr>
        <w:t xml:space="preserve">The Companies currently anticipate </w:t>
      </w:r>
      <w:r w:rsidR="000413C2">
        <w:rPr>
          <w:sz w:val="26"/>
          <w:szCs w:val="26"/>
        </w:rPr>
        <w:t xml:space="preserve">commencing the build-out of necessary infrastructure in April, 2013.  They will then </w:t>
      </w:r>
      <w:r>
        <w:rPr>
          <w:sz w:val="26"/>
          <w:szCs w:val="26"/>
        </w:rPr>
        <w:t xml:space="preserve">perform a technical trial </w:t>
      </w:r>
      <w:r w:rsidR="000413C2">
        <w:rPr>
          <w:sz w:val="26"/>
          <w:szCs w:val="26"/>
        </w:rPr>
        <w:t xml:space="preserve">involving 5,000 to 10,000 meters </w:t>
      </w:r>
      <w:r>
        <w:rPr>
          <w:sz w:val="26"/>
          <w:szCs w:val="26"/>
        </w:rPr>
        <w:t xml:space="preserve">prior to December 31, 2013. </w:t>
      </w:r>
      <w:r w:rsidR="000413C2">
        <w:rPr>
          <w:sz w:val="26"/>
          <w:szCs w:val="26"/>
        </w:rPr>
        <w:t xml:space="preserve"> T</w:t>
      </w:r>
      <w:r>
        <w:rPr>
          <w:sz w:val="26"/>
          <w:szCs w:val="26"/>
        </w:rPr>
        <w:t>he Companies anticipate</w:t>
      </w:r>
      <w:r w:rsidR="000413C2">
        <w:rPr>
          <w:sz w:val="26"/>
          <w:szCs w:val="26"/>
        </w:rPr>
        <w:t xml:space="preserve"> completing the build-out of</w:t>
      </w:r>
      <w:r>
        <w:rPr>
          <w:sz w:val="26"/>
          <w:szCs w:val="26"/>
        </w:rPr>
        <w:t xml:space="preserve"> necessary infrastructure </w:t>
      </w:r>
      <w:r w:rsidR="000413C2">
        <w:rPr>
          <w:sz w:val="26"/>
          <w:szCs w:val="26"/>
        </w:rPr>
        <w:t xml:space="preserve">approximately March 2016.  They will then “de-bug” the system </w:t>
      </w:r>
      <w:r>
        <w:rPr>
          <w:sz w:val="26"/>
          <w:szCs w:val="26"/>
        </w:rPr>
        <w:t>with at least 60,000 meters.  Full scale deployment of smart meters is exp</w:t>
      </w:r>
      <w:r w:rsidR="00FA524E">
        <w:rPr>
          <w:sz w:val="26"/>
          <w:szCs w:val="26"/>
        </w:rPr>
        <w:t>ected to occur in a tiered roll</w:t>
      </w:r>
      <w:r w:rsidR="008254AE">
        <w:rPr>
          <w:sz w:val="26"/>
          <w:szCs w:val="26"/>
        </w:rPr>
        <w:t xml:space="preserve"> </w:t>
      </w:r>
      <w:r>
        <w:rPr>
          <w:sz w:val="26"/>
          <w:szCs w:val="26"/>
        </w:rPr>
        <w:t>out beginning about April 2017</w:t>
      </w:r>
      <w:r w:rsidR="00FA524E">
        <w:rPr>
          <w:sz w:val="26"/>
          <w:szCs w:val="26"/>
        </w:rPr>
        <w:t>,</w:t>
      </w:r>
      <w:r>
        <w:rPr>
          <w:sz w:val="26"/>
          <w:szCs w:val="26"/>
        </w:rPr>
        <w:t xml:space="preserve"> and ending about March 2022.  Joint Petition at ¶¶ 25-26; Plan at 6.</w:t>
      </w:r>
    </w:p>
    <w:p w:rsidR="00484607" w:rsidRDefault="00484607" w:rsidP="002F5812">
      <w:pPr>
        <w:spacing w:line="360" w:lineRule="auto"/>
        <w:ind w:firstLine="2160"/>
        <w:rPr>
          <w:sz w:val="26"/>
          <w:szCs w:val="26"/>
        </w:rPr>
      </w:pPr>
    </w:p>
    <w:p w:rsidR="00EB3313" w:rsidRDefault="00EB3313" w:rsidP="00EB3313">
      <w:pPr>
        <w:pStyle w:val="Heading4"/>
      </w:pPr>
      <w:bookmarkStart w:id="31" w:name="_Toc259798205"/>
      <w:bookmarkStart w:id="32" w:name="_Toc263848837"/>
      <w:r>
        <w:t>b.</w:t>
      </w:r>
      <w:r>
        <w:tab/>
        <w:t>ALJ’s Recommendation</w:t>
      </w:r>
      <w:bookmarkEnd w:id="31"/>
      <w:bookmarkEnd w:id="32"/>
    </w:p>
    <w:p w:rsidR="00DE6617" w:rsidRDefault="00DE6617" w:rsidP="002F5812">
      <w:pPr>
        <w:spacing w:line="360" w:lineRule="auto"/>
        <w:ind w:firstLine="2160"/>
        <w:rPr>
          <w:sz w:val="26"/>
          <w:szCs w:val="26"/>
        </w:rPr>
      </w:pPr>
    </w:p>
    <w:p w:rsidR="000A4D51" w:rsidRPr="0047003B" w:rsidRDefault="008434D1" w:rsidP="002F5812">
      <w:pPr>
        <w:spacing w:line="360" w:lineRule="auto"/>
        <w:ind w:firstLine="2160"/>
        <w:rPr>
          <w:sz w:val="26"/>
          <w:szCs w:val="26"/>
        </w:rPr>
      </w:pPr>
      <w:r>
        <w:rPr>
          <w:sz w:val="26"/>
          <w:szCs w:val="26"/>
        </w:rPr>
        <w:t xml:space="preserve">The ALJ approved the deployment timeframe set forth in the Companies’ Plan.  The ALJ found that the </w:t>
      </w:r>
      <w:r w:rsidR="0047003B">
        <w:rPr>
          <w:i/>
          <w:sz w:val="26"/>
        </w:rPr>
        <w:t>Implementation Order</w:t>
      </w:r>
      <w:r w:rsidR="0047003B">
        <w:rPr>
          <w:sz w:val="26"/>
        </w:rPr>
        <w:t xml:space="preserve"> is not a regulation and does not have the full force and effect of law.  Instead, it acts as a policy to provide guidelines to EDCs regarding the Commission’s </w:t>
      </w:r>
      <w:r w:rsidR="00B55DC4">
        <w:rPr>
          <w:sz w:val="26"/>
        </w:rPr>
        <w:t>expectations about smart meter p</w:t>
      </w:r>
      <w:r w:rsidR="0047003B">
        <w:rPr>
          <w:sz w:val="26"/>
        </w:rPr>
        <w:t xml:space="preserve">lans.  </w:t>
      </w:r>
      <w:r w:rsidR="00504662">
        <w:rPr>
          <w:sz w:val="26"/>
        </w:rPr>
        <w:t>The ALJ found the Companies’ proposed time frame for deployment reasonable.</w:t>
      </w:r>
      <w:r w:rsidR="008254AE">
        <w:rPr>
          <w:sz w:val="26"/>
        </w:rPr>
        <w:t xml:space="preserve">  </w:t>
      </w:r>
      <w:r w:rsidR="008254AE">
        <w:rPr>
          <w:sz w:val="26"/>
          <w:szCs w:val="26"/>
        </w:rPr>
        <w:t xml:space="preserve">I.D. at 19-23.  </w:t>
      </w:r>
    </w:p>
    <w:p w:rsidR="000A4D51" w:rsidRDefault="000A4D51" w:rsidP="002F5812">
      <w:pPr>
        <w:spacing w:line="360" w:lineRule="auto"/>
        <w:ind w:firstLine="2160"/>
        <w:rPr>
          <w:sz w:val="26"/>
          <w:szCs w:val="26"/>
        </w:rPr>
      </w:pPr>
    </w:p>
    <w:p w:rsidR="008254AE" w:rsidRDefault="008254AE">
      <w:pPr>
        <w:spacing w:after="200" w:line="276" w:lineRule="auto"/>
        <w:rPr>
          <w:rFonts w:eastAsiaTheme="majorEastAsia" w:cstheme="majorBidi"/>
          <w:b/>
          <w:bCs/>
          <w:iCs/>
          <w:sz w:val="26"/>
          <w:szCs w:val="26"/>
        </w:rPr>
      </w:pPr>
      <w:r>
        <w:rPr>
          <w:szCs w:val="26"/>
        </w:rPr>
        <w:br w:type="page"/>
      </w:r>
    </w:p>
    <w:p w:rsidR="00EB3313" w:rsidRPr="00496D41" w:rsidRDefault="00EB3313" w:rsidP="00EB3313">
      <w:pPr>
        <w:pStyle w:val="Heading4"/>
        <w:rPr>
          <w:szCs w:val="26"/>
        </w:rPr>
      </w:pPr>
      <w:bookmarkStart w:id="33" w:name="_Toc259798206"/>
      <w:bookmarkStart w:id="34" w:name="_Toc263848838"/>
      <w:r w:rsidRPr="00496D41">
        <w:rPr>
          <w:szCs w:val="26"/>
        </w:rPr>
        <w:lastRenderedPageBreak/>
        <w:t>c.</w:t>
      </w:r>
      <w:r w:rsidRPr="00496D41">
        <w:rPr>
          <w:szCs w:val="26"/>
        </w:rPr>
        <w:tab/>
        <w:t>Positions of the Parties</w:t>
      </w:r>
      <w:bookmarkEnd w:id="33"/>
      <w:bookmarkEnd w:id="34"/>
    </w:p>
    <w:p w:rsidR="00EB3313" w:rsidRPr="00496D41" w:rsidRDefault="00EB3313" w:rsidP="00EB3313">
      <w:pPr>
        <w:rPr>
          <w:sz w:val="26"/>
          <w:szCs w:val="26"/>
        </w:rPr>
      </w:pPr>
    </w:p>
    <w:p w:rsidR="007B2510" w:rsidRDefault="00496D41" w:rsidP="00496D41">
      <w:pPr>
        <w:spacing w:line="360" w:lineRule="auto"/>
        <w:ind w:firstLine="1440"/>
        <w:rPr>
          <w:sz w:val="26"/>
          <w:szCs w:val="26"/>
        </w:rPr>
      </w:pPr>
      <w:r w:rsidRPr="00496D41">
        <w:rPr>
          <w:sz w:val="26"/>
          <w:szCs w:val="26"/>
        </w:rPr>
        <w:t xml:space="preserve">DEP contends </w:t>
      </w:r>
      <w:r>
        <w:rPr>
          <w:sz w:val="26"/>
          <w:szCs w:val="26"/>
        </w:rPr>
        <w:t xml:space="preserve">there are two flaws in the Companies’ timeframe for deployment.  First, </w:t>
      </w:r>
      <w:r w:rsidR="0016534E">
        <w:rPr>
          <w:sz w:val="26"/>
          <w:szCs w:val="26"/>
        </w:rPr>
        <w:t>DEP argues that the</w:t>
      </w:r>
      <w:r w:rsidR="00BC49A1">
        <w:rPr>
          <w:sz w:val="26"/>
          <w:szCs w:val="26"/>
        </w:rPr>
        <w:t xml:space="preserve"> Plan does not comply with the </w:t>
      </w:r>
      <w:r w:rsidR="0016534E" w:rsidRPr="0016534E">
        <w:rPr>
          <w:i/>
          <w:sz w:val="26"/>
          <w:szCs w:val="26"/>
        </w:rPr>
        <w:t>Implementation Order</w:t>
      </w:r>
      <w:r w:rsidR="0016534E">
        <w:rPr>
          <w:sz w:val="26"/>
          <w:szCs w:val="26"/>
        </w:rPr>
        <w:t xml:space="preserve"> </w:t>
      </w:r>
      <w:r w:rsidR="00BC49A1">
        <w:rPr>
          <w:sz w:val="26"/>
          <w:szCs w:val="26"/>
        </w:rPr>
        <w:t xml:space="preserve">in that </w:t>
      </w:r>
      <w:r w:rsidR="00B55DC4">
        <w:rPr>
          <w:sz w:val="26"/>
          <w:szCs w:val="26"/>
        </w:rPr>
        <w:t>FirstEnergy</w:t>
      </w:r>
      <w:r w:rsidR="00BC49A1">
        <w:rPr>
          <w:sz w:val="26"/>
          <w:szCs w:val="26"/>
        </w:rPr>
        <w:t xml:space="preserve"> w</w:t>
      </w:r>
      <w:r w:rsidR="00381E3A">
        <w:rPr>
          <w:sz w:val="26"/>
          <w:szCs w:val="26"/>
        </w:rPr>
        <w:t xml:space="preserve">ill </w:t>
      </w:r>
      <w:r w:rsidR="00BC49A1">
        <w:rPr>
          <w:sz w:val="26"/>
          <w:szCs w:val="26"/>
        </w:rPr>
        <w:t xml:space="preserve">not </w:t>
      </w:r>
      <w:r w:rsidR="0016534E">
        <w:rPr>
          <w:sz w:val="26"/>
          <w:szCs w:val="26"/>
        </w:rPr>
        <w:t xml:space="preserve">install </w:t>
      </w:r>
      <w:r w:rsidR="00BC49A1">
        <w:rPr>
          <w:sz w:val="26"/>
          <w:szCs w:val="26"/>
        </w:rPr>
        <w:t xml:space="preserve">its </w:t>
      </w:r>
      <w:r w:rsidR="0016534E">
        <w:rPr>
          <w:sz w:val="26"/>
          <w:szCs w:val="26"/>
        </w:rPr>
        <w:t xml:space="preserve">smart meter </w:t>
      </w:r>
      <w:r w:rsidR="0054364E">
        <w:rPr>
          <w:sz w:val="26"/>
          <w:szCs w:val="26"/>
        </w:rPr>
        <w:t>infrastructure</w:t>
      </w:r>
      <w:r w:rsidR="0016534E">
        <w:rPr>
          <w:sz w:val="26"/>
          <w:szCs w:val="26"/>
        </w:rPr>
        <w:t xml:space="preserve"> by the end of the Grace Period</w:t>
      </w:r>
      <w:r w:rsidR="007B2510">
        <w:rPr>
          <w:sz w:val="26"/>
          <w:szCs w:val="26"/>
        </w:rPr>
        <w:t xml:space="preserve"> in October 2012</w:t>
      </w:r>
      <w:r w:rsidR="0016534E">
        <w:rPr>
          <w:sz w:val="26"/>
          <w:szCs w:val="26"/>
        </w:rPr>
        <w:t xml:space="preserve">.  </w:t>
      </w:r>
      <w:r w:rsidR="007B2510">
        <w:rPr>
          <w:sz w:val="26"/>
          <w:szCs w:val="26"/>
        </w:rPr>
        <w:t xml:space="preserve">Instead, the Companies expect to complete the build-out of their smart meter infrastructure approximately March, 2016.  </w:t>
      </w:r>
      <w:r w:rsidR="003C69B7">
        <w:rPr>
          <w:sz w:val="26"/>
          <w:szCs w:val="26"/>
        </w:rPr>
        <w:t xml:space="preserve">DEP Exc. at 6-11.  </w:t>
      </w:r>
    </w:p>
    <w:p w:rsidR="007B2510" w:rsidRDefault="007B2510" w:rsidP="00496D41">
      <w:pPr>
        <w:spacing w:line="360" w:lineRule="auto"/>
        <w:ind w:firstLine="1440"/>
        <w:rPr>
          <w:sz w:val="26"/>
          <w:szCs w:val="26"/>
        </w:rPr>
      </w:pPr>
    </w:p>
    <w:p w:rsidR="006912A8" w:rsidRDefault="008254AE" w:rsidP="00496D41">
      <w:pPr>
        <w:spacing w:line="360" w:lineRule="auto"/>
        <w:ind w:firstLine="1440"/>
        <w:rPr>
          <w:sz w:val="26"/>
        </w:rPr>
      </w:pPr>
      <w:r>
        <w:rPr>
          <w:sz w:val="26"/>
          <w:szCs w:val="26"/>
        </w:rPr>
        <w:t>According to DEP, t</w:t>
      </w:r>
      <w:r w:rsidR="0054364E">
        <w:rPr>
          <w:sz w:val="26"/>
          <w:szCs w:val="26"/>
        </w:rPr>
        <w:t xml:space="preserve">he </w:t>
      </w:r>
      <w:r w:rsidR="0054364E">
        <w:rPr>
          <w:i/>
          <w:sz w:val="26"/>
        </w:rPr>
        <w:t>Implementation Order</w:t>
      </w:r>
      <w:r>
        <w:rPr>
          <w:sz w:val="26"/>
        </w:rPr>
        <w:t xml:space="preserve"> </w:t>
      </w:r>
      <w:r w:rsidR="0054364E">
        <w:rPr>
          <w:sz w:val="26"/>
        </w:rPr>
        <w:t>provides the regulated community with guidance as to the contents of an adequate smart meter plan.  Any EDC that deviates from th</w:t>
      </w:r>
      <w:r w:rsidR="00381E3A">
        <w:rPr>
          <w:sz w:val="26"/>
        </w:rPr>
        <w:t xml:space="preserve">at </w:t>
      </w:r>
      <w:r w:rsidR="0054364E">
        <w:rPr>
          <w:sz w:val="26"/>
        </w:rPr>
        <w:t xml:space="preserve">guidance runs the risk that its plan will be found inadequate.  </w:t>
      </w:r>
      <w:r w:rsidR="00932679">
        <w:rPr>
          <w:sz w:val="26"/>
        </w:rPr>
        <w:t xml:space="preserve">“Just because a requirement is contained in a statement of policy rather than a regulation does not mean that the Commission cannot establish it in an adjudicatory proceeding such as this.”  DEP Exc. at 10.  DEP asks the Commission to </w:t>
      </w:r>
      <w:r w:rsidR="00381E3A">
        <w:rPr>
          <w:sz w:val="26"/>
        </w:rPr>
        <w:t xml:space="preserve">order </w:t>
      </w:r>
      <w:r w:rsidR="00B55DC4">
        <w:rPr>
          <w:sz w:val="26"/>
        </w:rPr>
        <w:t>FirstEnergy</w:t>
      </w:r>
      <w:r w:rsidR="00381E3A">
        <w:rPr>
          <w:sz w:val="26"/>
        </w:rPr>
        <w:t xml:space="preserve"> to submit a revised plan that requires the installation of the </w:t>
      </w:r>
      <w:r w:rsidR="003C69B7">
        <w:rPr>
          <w:sz w:val="26"/>
        </w:rPr>
        <w:t xml:space="preserve">Companies’ </w:t>
      </w:r>
      <w:r w:rsidR="00381E3A">
        <w:rPr>
          <w:sz w:val="26"/>
        </w:rPr>
        <w:t>smart meter infrastructure within the Grace Period.</w:t>
      </w:r>
      <w:r w:rsidR="006912A8">
        <w:rPr>
          <w:sz w:val="26"/>
        </w:rPr>
        <w:t xml:space="preserve">  </w:t>
      </w:r>
    </w:p>
    <w:p w:rsidR="00381E3A" w:rsidRDefault="00381E3A" w:rsidP="00496D41">
      <w:pPr>
        <w:spacing w:line="360" w:lineRule="auto"/>
        <w:ind w:firstLine="1440"/>
        <w:rPr>
          <w:sz w:val="26"/>
        </w:rPr>
      </w:pPr>
    </w:p>
    <w:p w:rsidR="00A73E7E" w:rsidRDefault="00381E3A" w:rsidP="00496D41">
      <w:pPr>
        <w:spacing w:line="360" w:lineRule="auto"/>
        <w:ind w:firstLine="1440"/>
        <w:rPr>
          <w:sz w:val="26"/>
        </w:rPr>
      </w:pPr>
      <w:r>
        <w:rPr>
          <w:sz w:val="26"/>
        </w:rPr>
        <w:t xml:space="preserve">Second, DEP argues that the Plan does not provide for the timely system-wide deployment of </w:t>
      </w:r>
      <w:r w:rsidR="007D5A11">
        <w:rPr>
          <w:sz w:val="26"/>
        </w:rPr>
        <w:t>smart meters.  DEP</w:t>
      </w:r>
      <w:r w:rsidR="009B4189">
        <w:rPr>
          <w:sz w:val="26"/>
        </w:rPr>
        <w:t xml:space="preserve"> argues that </w:t>
      </w:r>
      <w:r w:rsidR="007D5A11">
        <w:rPr>
          <w:sz w:val="26"/>
        </w:rPr>
        <w:t xml:space="preserve">the Plan </w:t>
      </w:r>
      <w:r w:rsidR="002D46F9">
        <w:rPr>
          <w:sz w:val="26"/>
        </w:rPr>
        <w:t xml:space="preserve">would provide smart meters on a timely basis but for the Companies’ failure to install the smart meter network </w:t>
      </w:r>
      <w:r w:rsidR="007D5A11">
        <w:rPr>
          <w:sz w:val="26"/>
        </w:rPr>
        <w:t xml:space="preserve">by the end of the Grace Period.  </w:t>
      </w:r>
    </w:p>
    <w:p w:rsidR="0083334D" w:rsidRDefault="0083334D" w:rsidP="00A73E7E">
      <w:pPr>
        <w:ind w:left="1440" w:right="1440"/>
        <w:rPr>
          <w:sz w:val="26"/>
        </w:rPr>
      </w:pPr>
    </w:p>
    <w:p w:rsidR="00381E3A" w:rsidRPr="00381E3A" w:rsidRDefault="00A73E7E" w:rsidP="00A73E7E">
      <w:pPr>
        <w:ind w:left="1440" w:right="1440"/>
        <w:rPr>
          <w:sz w:val="26"/>
          <w:szCs w:val="26"/>
        </w:rPr>
      </w:pPr>
      <w:r>
        <w:rPr>
          <w:sz w:val="26"/>
        </w:rPr>
        <w:t xml:space="preserve">Because </w:t>
      </w:r>
      <w:r w:rsidR="00B55DC4">
        <w:rPr>
          <w:sz w:val="26"/>
        </w:rPr>
        <w:t>FirstEnergy</w:t>
      </w:r>
      <w:r>
        <w:rPr>
          <w:sz w:val="26"/>
        </w:rPr>
        <w:t xml:space="preserve">’s current deployment schedule envisions a six year meter deployment period, the Commission should order </w:t>
      </w:r>
      <w:r w:rsidR="00B55DC4">
        <w:rPr>
          <w:sz w:val="26"/>
        </w:rPr>
        <w:t>FirstEnergy</w:t>
      </w:r>
      <w:r>
        <w:rPr>
          <w:sz w:val="26"/>
        </w:rPr>
        <w:t xml:space="preserve"> to maintain </w:t>
      </w:r>
      <w:r w:rsidR="0083334D">
        <w:rPr>
          <w:sz w:val="26"/>
        </w:rPr>
        <w:t xml:space="preserve">that deployment schedule such that smart meters are deployed throughout </w:t>
      </w:r>
      <w:r w:rsidR="00B55DC4">
        <w:rPr>
          <w:sz w:val="26"/>
        </w:rPr>
        <w:t>FirstEnergy</w:t>
      </w:r>
      <w:r w:rsidR="0083334D">
        <w:rPr>
          <w:sz w:val="26"/>
        </w:rPr>
        <w:t>’s service territory no later than 10 years from the date of the Commission’s Order in this matter.</w:t>
      </w:r>
    </w:p>
    <w:p w:rsidR="006912A8" w:rsidRDefault="006912A8" w:rsidP="00496D41">
      <w:pPr>
        <w:spacing w:line="360" w:lineRule="auto"/>
        <w:ind w:firstLine="1440"/>
        <w:rPr>
          <w:sz w:val="26"/>
          <w:szCs w:val="26"/>
        </w:rPr>
      </w:pPr>
    </w:p>
    <w:p w:rsidR="0083334D" w:rsidRDefault="0083334D" w:rsidP="0083334D">
      <w:pPr>
        <w:spacing w:line="360" w:lineRule="auto"/>
        <w:rPr>
          <w:sz w:val="26"/>
          <w:szCs w:val="26"/>
        </w:rPr>
      </w:pPr>
      <w:r>
        <w:rPr>
          <w:sz w:val="26"/>
          <w:szCs w:val="26"/>
        </w:rPr>
        <w:t>DEP Exc. at 11-12.</w:t>
      </w:r>
    </w:p>
    <w:p w:rsidR="00116781" w:rsidRDefault="00116781" w:rsidP="0083334D">
      <w:pPr>
        <w:spacing w:line="360" w:lineRule="auto"/>
        <w:rPr>
          <w:sz w:val="26"/>
          <w:szCs w:val="26"/>
        </w:rPr>
      </w:pPr>
    </w:p>
    <w:p w:rsidR="00116781" w:rsidRDefault="00B97EC3" w:rsidP="00116781">
      <w:pPr>
        <w:spacing w:line="360" w:lineRule="auto"/>
        <w:ind w:firstLine="1440"/>
        <w:rPr>
          <w:sz w:val="26"/>
          <w:szCs w:val="26"/>
        </w:rPr>
      </w:pPr>
      <w:r>
        <w:rPr>
          <w:sz w:val="26"/>
          <w:szCs w:val="26"/>
        </w:rPr>
        <w:lastRenderedPageBreak/>
        <w:t>The Companies</w:t>
      </w:r>
      <w:r w:rsidR="00015A11">
        <w:rPr>
          <w:sz w:val="26"/>
          <w:szCs w:val="26"/>
        </w:rPr>
        <w:t>, in contrast,</w:t>
      </w:r>
      <w:r>
        <w:rPr>
          <w:sz w:val="26"/>
          <w:szCs w:val="26"/>
        </w:rPr>
        <w:t xml:space="preserve"> argue </w:t>
      </w:r>
      <w:r w:rsidR="00116781">
        <w:rPr>
          <w:sz w:val="26"/>
          <w:szCs w:val="26"/>
        </w:rPr>
        <w:t>that DEP</w:t>
      </w:r>
      <w:r>
        <w:rPr>
          <w:sz w:val="26"/>
          <w:szCs w:val="26"/>
        </w:rPr>
        <w:t xml:space="preserve">’s position is unsupported by any record evidence.  The Companies further argue that DEP’s position is based on </w:t>
      </w:r>
      <w:r w:rsidR="00F15843">
        <w:rPr>
          <w:sz w:val="26"/>
          <w:szCs w:val="26"/>
        </w:rPr>
        <w:t xml:space="preserve">a flawed understanding of the </w:t>
      </w:r>
      <w:r w:rsidR="00F15843">
        <w:rPr>
          <w:i/>
          <w:sz w:val="26"/>
          <w:szCs w:val="26"/>
        </w:rPr>
        <w:t>Implementation Order</w:t>
      </w:r>
      <w:r>
        <w:rPr>
          <w:sz w:val="26"/>
          <w:szCs w:val="26"/>
        </w:rPr>
        <w:t xml:space="preserve">.  First, </w:t>
      </w:r>
      <w:r w:rsidR="00F15843">
        <w:rPr>
          <w:sz w:val="26"/>
          <w:szCs w:val="26"/>
        </w:rPr>
        <w:t xml:space="preserve">the Companies </w:t>
      </w:r>
      <w:r w:rsidR="005F12C1">
        <w:rPr>
          <w:sz w:val="26"/>
          <w:szCs w:val="26"/>
        </w:rPr>
        <w:t xml:space="preserve">contend </w:t>
      </w:r>
      <w:r w:rsidR="00F15843">
        <w:rPr>
          <w:sz w:val="26"/>
          <w:szCs w:val="26"/>
        </w:rPr>
        <w:t xml:space="preserve">that the </w:t>
      </w:r>
      <w:r w:rsidR="00F15843">
        <w:rPr>
          <w:i/>
          <w:sz w:val="26"/>
          <w:szCs w:val="26"/>
        </w:rPr>
        <w:t>Implementation Order</w:t>
      </w:r>
      <w:r w:rsidR="00F15843">
        <w:rPr>
          <w:sz w:val="26"/>
          <w:szCs w:val="26"/>
        </w:rPr>
        <w:t xml:space="preserve"> does not have the full force and effect of law; it is in the nature of a </w:t>
      </w:r>
      <w:r w:rsidR="00C30CA5">
        <w:rPr>
          <w:sz w:val="26"/>
          <w:szCs w:val="26"/>
        </w:rPr>
        <w:t>s</w:t>
      </w:r>
      <w:r w:rsidR="00F15843">
        <w:rPr>
          <w:sz w:val="26"/>
          <w:szCs w:val="26"/>
        </w:rPr>
        <w:t xml:space="preserve">tatement of </w:t>
      </w:r>
      <w:r w:rsidR="00C30CA5">
        <w:rPr>
          <w:sz w:val="26"/>
          <w:szCs w:val="26"/>
        </w:rPr>
        <w:t>p</w:t>
      </w:r>
      <w:r w:rsidR="00F15843">
        <w:rPr>
          <w:sz w:val="26"/>
          <w:szCs w:val="26"/>
        </w:rPr>
        <w:t xml:space="preserve">olicy rather than a regulation.  As a result, the </w:t>
      </w:r>
      <w:r w:rsidR="00F15843">
        <w:rPr>
          <w:i/>
          <w:sz w:val="26"/>
          <w:szCs w:val="26"/>
        </w:rPr>
        <w:t xml:space="preserve">Implementation Order </w:t>
      </w:r>
      <w:r w:rsidR="00F15843">
        <w:rPr>
          <w:sz w:val="26"/>
          <w:szCs w:val="26"/>
        </w:rPr>
        <w:t xml:space="preserve">“cannot function as a pre-determination of the reasonableness of any aspect of the Company’s proposed Smart Meter Plan.”  </w:t>
      </w:r>
      <w:r w:rsidR="00B55DC4">
        <w:rPr>
          <w:sz w:val="26"/>
          <w:szCs w:val="26"/>
        </w:rPr>
        <w:t>FirstEnergy</w:t>
      </w:r>
      <w:r w:rsidR="005F12C1">
        <w:rPr>
          <w:sz w:val="26"/>
          <w:szCs w:val="26"/>
        </w:rPr>
        <w:t xml:space="preserve"> R.Exc. at 3-4.  Second, the Companies contend that the </w:t>
      </w:r>
      <w:r w:rsidR="005F12C1">
        <w:rPr>
          <w:i/>
          <w:sz w:val="26"/>
          <w:szCs w:val="26"/>
        </w:rPr>
        <w:t>Implementation Order</w:t>
      </w:r>
      <w:r w:rsidR="005F12C1">
        <w:rPr>
          <w:sz w:val="26"/>
          <w:szCs w:val="26"/>
        </w:rPr>
        <w:t xml:space="preserve"> does not require the installation of the smart meter infrastructure by the end of the 30-month grace period.  </w:t>
      </w:r>
      <w:r w:rsidR="005F12C1" w:rsidRPr="005F12C1">
        <w:rPr>
          <w:i/>
          <w:sz w:val="26"/>
          <w:szCs w:val="26"/>
        </w:rPr>
        <w:t>Id</w:t>
      </w:r>
      <w:r w:rsidR="005F12C1">
        <w:rPr>
          <w:sz w:val="26"/>
          <w:szCs w:val="26"/>
        </w:rPr>
        <w:t>. at 4</w:t>
      </w:r>
      <w:r w:rsidR="000E7035">
        <w:rPr>
          <w:sz w:val="26"/>
          <w:szCs w:val="26"/>
        </w:rPr>
        <w:t>-</w:t>
      </w:r>
      <w:r w:rsidR="00C30CA5">
        <w:rPr>
          <w:sz w:val="26"/>
          <w:szCs w:val="26"/>
        </w:rPr>
        <w:t>5</w:t>
      </w:r>
      <w:r w:rsidR="005F12C1">
        <w:rPr>
          <w:sz w:val="26"/>
          <w:szCs w:val="26"/>
        </w:rPr>
        <w:t>.</w:t>
      </w:r>
    </w:p>
    <w:p w:rsidR="000E7035" w:rsidRDefault="000E7035" w:rsidP="00116781">
      <w:pPr>
        <w:spacing w:line="360" w:lineRule="auto"/>
        <w:ind w:firstLine="1440"/>
        <w:rPr>
          <w:sz w:val="26"/>
          <w:szCs w:val="26"/>
        </w:rPr>
      </w:pPr>
    </w:p>
    <w:p w:rsidR="000E7035" w:rsidRPr="003244AB" w:rsidRDefault="000E7035" w:rsidP="00116781">
      <w:pPr>
        <w:spacing w:line="360" w:lineRule="auto"/>
        <w:ind w:firstLine="1440"/>
        <w:rPr>
          <w:sz w:val="26"/>
          <w:szCs w:val="26"/>
        </w:rPr>
      </w:pPr>
      <w:r>
        <w:rPr>
          <w:sz w:val="26"/>
          <w:szCs w:val="26"/>
        </w:rPr>
        <w:t xml:space="preserve">Finally, the Companies dispute DEP’s contention that the </w:t>
      </w:r>
      <w:r w:rsidR="008D70F4">
        <w:rPr>
          <w:sz w:val="26"/>
          <w:szCs w:val="26"/>
        </w:rPr>
        <w:t xml:space="preserve">Plan fails to provide for the </w:t>
      </w:r>
      <w:r>
        <w:rPr>
          <w:sz w:val="26"/>
          <w:szCs w:val="26"/>
        </w:rPr>
        <w:t xml:space="preserve">full deployment of smart meters in a timely manner.  The Companies </w:t>
      </w:r>
      <w:r w:rsidR="008D70F4">
        <w:rPr>
          <w:sz w:val="26"/>
          <w:szCs w:val="26"/>
        </w:rPr>
        <w:t>state that the</w:t>
      </w:r>
      <w:r w:rsidR="002D20DD">
        <w:rPr>
          <w:sz w:val="26"/>
          <w:szCs w:val="26"/>
        </w:rPr>
        <w:t xml:space="preserve"> Plan provides for supplying smart meters to requesting cu</w:t>
      </w:r>
      <w:r w:rsidR="004321C7">
        <w:rPr>
          <w:sz w:val="26"/>
          <w:szCs w:val="26"/>
        </w:rPr>
        <w:t>stomers and in new construction</w:t>
      </w:r>
      <w:r w:rsidR="002D20DD">
        <w:rPr>
          <w:sz w:val="26"/>
          <w:szCs w:val="26"/>
        </w:rPr>
        <w:t xml:space="preserve"> prior to full build-out.  They also note that the Plan provides for the completion of full-scale deployment of smart meters approximately three years before the end of the deployment period established in the </w:t>
      </w:r>
      <w:r w:rsidR="002D20DD">
        <w:rPr>
          <w:i/>
          <w:sz w:val="26"/>
          <w:szCs w:val="26"/>
        </w:rPr>
        <w:t xml:space="preserve">Implementation Order. </w:t>
      </w:r>
      <w:r w:rsidR="003244AB">
        <w:rPr>
          <w:sz w:val="26"/>
          <w:szCs w:val="26"/>
        </w:rPr>
        <w:t xml:space="preserve"> </w:t>
      </w:r>
      <w:r w:rsidR="00B55DC4">
        <w:rPr>
          <w:sz w:val="26"/>
          <w:szCs w:val="26"/>
        </w:rPr>
        <w:t>FirstEnergy</w:t>
      </w:r>
      <w:r w:rsidR="003244AB">
        <w:rPr>
          <w:sz w:val="26"/>
          <w:szCs w:val="26"/>
        </w:rPr>
        <w:t xml:space="preserve"> R.Exc. at 6.</w:t>
      </w:r>
    </w:p>
    <w:p w:rsidR="00504662" w:rsidRDefault="00504662" w:rsidP="0083334D">
      <w:pPr>
        <w:spacing w:line="360" w:lineRule="auto"/>
        <w:ind w:firstLine="1440"/>
        <w:rPr>
          <w:sz w:val="26"/>
          <w:szCs w:val="26"/>
        </w:rPr>
      </w:pPr>
    </w:p>
    <w:p w:rsidR="0083334D" w:rsidRDefault="0006218F" w:rsidP="0083334D">
      <w:pPr>
        <w:spacing w:line="360" w:lineRule="auto"/>
        <w:ind w:firstLine="1440"/>
        <w:rPr>
          <w:sz w:val="26"/>
          <w:szCs w:val="26"/>
        </w:rPr>
      </w:pPr>
      <w:r>
        <w:rPr>
          <w:sz w:val="26"/>
          <w:szCs w:val="26"/>
        </w:rPr>
        <w:t xml:space="preserve">No other Party addressed this aspect of the Initial Decision. </w:t>
      </w:r>
    </w:p>
    <w:p w:rsidR="00504662" w:rsidRPr="00496D41" w:rsidRDefault="00504662" w:rsidP="00496D41">
      <w:pPr>
        <w:spacing w:line="360" w:lineRule="auto"/>
        <w:rPr>
          <w:sz w:val="26"/>
          <w:szCs w:val="26"/>
        </w:rPr>
      </w:pPr>
    </w:p>
    <w:p w:rsidR="00EB3313" w:rsidRPr="00496D41" w:rsidRDefault="00EB3313" w:rsidP="00EB3313">
      <w:pPr>
        <w:pStyle w:val="Heading4"/>
        <w:rPr>
          <w:szCs w:val="26"/>
        </w:rPr>
      </w:pPr>
      <w:bookmarkStart w:id="35" w:name="_Toc259798207"/>
      <w:bookmarkStart w:id="36" w:name="_Toc263848839"/>
      <w:r w:rsidRPr="00496D41">
        <w:rPr>
          <w:szCs w:val="26"/>
        </w:rPr>
        <w:t>d.</w:t>
      </w:r>
      <w:r w:rsidRPr="00496D41">
        <w:rPr>
          <w:szCs w:val="26"/>
        </w:rPr>
        <w:tab/>
        <w:t>Disposition</w:t>
      </w:r>
      <w:bookmarkEnd w:id="35"/>
      <w:bookmarkEnd w:id="36"/>
    </w:p>
    <w:p w:rsidR="00EB3313" w:rsidRDefault="00EB3313" w:rsidP="00EB3313">
      <w:pPr>
        <w:rPr>
          <w:sz w:val="26"/>
          <w:szCs w:val="26"/>
        </w:rPr>
      </w:pPr>
    </w:p>
    <w:p w:rsidR="004321C7" w:rsidRDefault="004C50EB" w:rsidP="00F166CD">
      <w:pPr>
        <w:spacing w:line="360" w:lineRule="auto"/>
        <w:ind w:firstLine="1440"/>
        <w:rPr>
          <w:sz w:val="26"/>
          <w:szCs w:val="26"/>
        </w:rPr>
      </w:pPr>
      <w:r>
        <w:rPr>
          <w:sz w:val="26"/>
          <w:szCs w:val="26"/>
        </w:rPr>
        <w:t xml:space="preserve">We will deny the Exceptions of DEP regarding the deployment process and timeframe.  </w:t>
      </w:r>
      <w:r w:rsidR="00C14614">
        <w:rPr>
          <w:sz w:val="26"/>
          <w:szCs w:val="26"/>
        </w:rPr>
        <w:t xml:space="preserve">We </w:t>
      </w:r>
      <w:r w:rsidR="00F166CD">
        <w:rPr>
          <w:sz w:val="26"/>
          <w:szCs w:val="26"/>
        </w:rPr>
        <w:t xml:space="preserve">addressed the legal effect of an implementation order in </w:t>
      </w:r>
      <w:r w:rsidR="00F166CD" w:rsidRPr="00F166CD">
        <w:rPr>
          <w:i/>
          <w:sz w:val="26"/>
          <w:szCs w:val="26"/>
        </w:rPr>
        <w:t>Chapter 14 Implementation</w:t>
      </w:r>
      <w:r w:rsidR="00F166CD">
        <w:rPr>
          <w:sz w:val="26"/>
          <w:szCs w:val="26"/>
        </w:rPr>
        <w:t xml:space="preserve">, Docket No. M-00041802F0002 (Order entered </w:t>
      </w:r>
      <w:r w:rsidR="00BD535B">
        <w:rPr>
          <w:sz w:val="26"/>
          <w:szCs w:val="26"/>
        </w:rPr>
        <w:t>November 21, 2005), wherein we stated</w:t>
      </w:r>
      <w:r w:rsidR="00CA61E6">
        <w:rPr>
          <w:sz w:val="26"/>
          <w:szCs w:val="26"/>
        </w:rPr>
        <w:t xml:space="preserve"> at page 13</w:t>
      </w:r>
      <w:r w:rsidR="00BD535B">
        <w:rPr>
          <w:sz w:val="26"/>
          <w:szCs w:val="26"/>
        </w:rPr>
        <w:t>:</w:t>
      </w:r>
    </w:p>
    <w:p w:rsidR="00CA61E6" w:rsidRDefault="00CA61E6" w:rsidP="00CA61E6">
      <w:pPr>
        <w:ind w:left="1440" w:right="1440"/>
        <w:rPr>
          <w:color w:val="000000"/>
          <w:sz w:val="26"/>
          <w:szCs w:val="26"/>
        </w:rPr>
      </w:pPr>
    </w:p>
    <w:p w:rsidR="00BD535B" w:rsidRDefault="00CA61E6" w:rsidP="00CA61E6">
      <w:pPr>
        <w:ind w:left="1440" w:right="1440"/>
        <w:rPr>
          <w:rFonts w:ascii="Times New (W1)" w:hAnsi="Times New (W1)"/>
          <w:color w:val="000000"/>
          <w:sz w:val="26"/>
          <w:szCs w:val="26"/>
        </w:rPr>
      </w:pPr>
      <w:r>
        <w:rPr>
          <w:color w:val="000000"/>
          <w:sz w:val="26"/>
          <w:szCs w:val="26"/>
        </w:rPr>
        <w:t>[T]</w:t>
      </w:r>
      <w:r w:rsidR="00BD535B" w:rsidRPr="00684D7A">
        <w:rPr>
          <w:color w:val="000000"/>
          <w:sz w:val="26"/>
          <w:szCs w:val="26"/>
        </w:rPr>
        <w:t xml:space="preserve">the Commission agrees with the argument of </w:t>
      </w:r>
      <w:r w:rsidR="00C14614">
        <w:rPr>
          <w:color w:val="000000"/>
          <w:sz w:val="26"/>
          <w:szCs w:val="26"/>
        </w:rPr>
        <w:t>…</w:t>
      </w:r>
      <w:r w:rsidR="00BD535B" w:rsidRPr="00684D7A">
        <w:rPr>
          <w:color w:val="000000"/>
          <w:sz w:val="26"/>
          <w:szCs w:val="26"/>
        </w:rPr>
        <w:t xml:space="preserve"> PGW that the </w:t>
      </w:r>
      <w:r w:rsidR="00BD535B" w:rsidRPr="00684D7A">
        <w:rPr>
          <w:i/>
          <w:color w:val="000000"/>
          <w:sz w:val="26"/>
          <w:szCs w:val="26"/>
        </w:rPr>
        <w:t>Implementation Orders</w:t>
      </w:r>
      <w:r w:rsidR="00BD535B" w:rsidRPr="00684D7A">
        <w:rPr>
          <w:color w:val="000000"/>
          <w:sz w:val="26"/>
          <w:szCs w:val="26"/>
        </w:rPr>
        <w:t xml:space="preserve"> at issue constitute policy statements setting forth how the Commission intends to </w:t>
      </w:r>
      <w:r w:rsidR="00BD535B" w:rsidRPr="00684D7A">
        <w:rPr>
          <w:color w:val="000000"/>
          <w:sz w:val="26"/>
          <w:szCs w:val="26"/>
        </w:rPr>
        <w:lastRenderedPageBreak/>
        <w:t>interpret Chapter 14 in future adjudications and rulemakings</w:t>
      </w:r>
      <w:r w:rsidR="00BD535B" w:rsidRPr="00684D7A">
        <w:rPr>
          <w:rFonts w:ascii="Times New (W1)" w:hAnsi="Times New (W1)"/>
          <w:color w:val="000000"/>
          <w:sz w:val="26"/>
          <w:szCs w:val="26"/>
        </w:rPr>
        <w:t xml:space="preserve">.  Nevertheless, the </w:t>
      </w:r>
      <w:r w:rsidR="00BD535B" w:rsidRPr="00684D7A">
        <w:rPr>
          <w:rFonts w:ascii="Times New (W1)" w:hAnsi="Times New (W1)"/>
          <w:i/>
          <w:color w:val="000000"/>
          <w:sz w:val="26"/>
          <w:szCs w:val="26"/>
        </w:rPr>
        <w:t>Implementation Orders</w:t>
      </w:r>
      <w:r w:rsidR="00BD535B" w:rsidRPr="00684D7A">
        <w:rPr>
          <w:rFonts w:ascii="Times New (W1)" w:hAnsi="Times New (W1)"/>
          <w:color w:val="000000"/>
          <w:sz w:val="26"/>
          <w:szCs w:val="26"/>
        </w:rPr>
        <w:t xml:space="preserve"> provide guidance to affected parties by the agency charged with its implementation and, as such, any party that deviates from that guidance runs the substantial risk of being in violation of Chapter 14 and the initiation of appropriate enforcement measures to secure compliance with this new law.</w:t>
      </w:r>
    </w:p>
    <w:p w:rsidR="00C14614" w:rsidRDefault="00C14614" w:rsidP="00CA61E6">
      <w:pPr>
        <w:ind w:left="1440" w:right="1440"/>
        <w:rPr>
          <w:rFonts w:ascii="Times New (W1)" w:hAnsi="Times New (W1)"/>
          <w:color w:val="000000"/>
          <w:sz w:val="26"/>
          <w:szCs w:val="26"/>
        </w:rPr>
      </w:pPr>
    </w:p>
    <w:p w:rsidR="00CA61E6" w:rsidRPr="00684D7A" w:rsidRDefault="00CA61E6" w:rsidP="00CA61E6">
      <w:pPr>
        <w:ind w:left="1440" w:right="1440"/>
        <w:rPr>
          <w:rFonts w:ascii="Times New (W1)" w:hAnsi="Times New (W1)"/>
          <w:color w:val="000000"/>
          <w:sz w:val="26"/>
          <w:szCs w:val="26"/>
        </w:rPr>
      </w:pPr>
    </w:p>
    <w:p w:rsidR="00842513" w:rsidRDefault="00842513" w:rsidP="00842513">
      <w:pPr>
        <w:spacing w:line="360" w:lineRule="auto"/>
        <w:rPr>
          <w:sz w:val="26"/>
          <w:szCs w:val="26"/>
        </w:rPr>
      </w:pPr>
      <w:r>
        <w:rPr>
          <w:sz w:val="26"/>
          <w:szCs w:val="26"/>
        </w:rPr>
        <w:t xml:space="preserve">Similarly, the smart metering </w:t>
      </w:r>
      <w:r w:rsidRPr="00842513">
        <w:rPr>
          <w:i/>
          <w:sz w:val="26"/>
          <w:szCs w:val="26"/>
        </w:rPr>
        <w:t>Implementation Order</w:t>
      </w:r>
      <w:r>
        <w:rPr>
          <w:sz w:val="26"/>
          <w:szCs w:val="26"/>
        </w:rPr>
        <w:t xml:space="preserve"> did not establish a binding norm, but </w:t>
      </w:r>
      <w:r w:rsidR="00BF01CC">
        <w:rPr>
          <w:sz w:val="26"/>
          <w:szCs w:val="26"/>
        </w:rPr>
        <w:t xml:space="preserve">EDCs </w:t>
      </w:r>
      <w:r w:rsidR="004C50EB">
        <w:rPr>
          <w:sz w:val="26"/>
          <w:szCs w:val="26"/>
        </w:rPr>
        <w:t xml:space="preserve">are not </w:t>
      </w:r>
      <w:r w:rsidR="00BF01CC">
        <w:rPr>
          <w:sz w:val="26"/>
          <w:szCs w:val="26"/>
        </w:rPr>
        <w:t>free to ignore that Order</w:t>
      </w:r>
      <w:r>
        <w:rPr>
          <w:sz w:val="26"/>
          <w:szCs w:val="26"/>
        </w:rPr>
        <w:t xml:space="preserve">. </w:t>
      </w:r>
    </w:p>
    <w:p w:rsidR="00842513" w:rsidRDefault="00842513" w:rsidP="00F166CD">
      <w:pPr>
        <w:spacing w:line="360" w:lineRule="auto"/>
        <w:ind w:firstLine="1440"/>
        <w:rPr>
          <w:sz w:val="26"/>
          <w:szCs w:val="26"/>
        </w:rPr>
      </w:pPr>
    </w:p>
    <w:p w:rsidR="004C50EB" w:rsidRDefault="00903D29" w:rsidP="00F166CD">
      <w:pPr>
        <w:spacing w:line="360" w:lineRule="auto"/>
        <w:ind w:firstLine="1440"/>
        <w:rPr>
          <w:sz w:val="26"/>
          <w:szCs w:val="26"/>
        </w:rPr>
      </w:pPr>
      <w:r>
        <w:rPr>
          <w:sz w:val="26"/>
          <w:szCs w:val="26"/>
        </w:rPr>
        <w:t>In the</w:t>
      </w:r>
      <w:r w:rsidR="00BF01CC">
        <w:rPr>
          <w:sz w:val="26"/>
          <w:szCs w:val="26"/>
        </w:rPr>
        <w:t xml:space="preserve"> smart metering</w:t>
      </w:r>
      <w:r>
        <w:rPr>
          <w:sz w:val="26"/>
          <w:szCs w:val="26"/>
        </w:rPr>
        <w:t xml:space="preserve"> </w:t>
      </w:r>
      <w:r w:rsidRPr="00903D29">
        <w:rPr>
          <w:i/>
          <w:sz w:val="26"/>
          <w:szCs w:val="26"/>
        </w:rPr>
        <w:t>Implementation Order</w:t>
      </w:r>
      <w:r>
        <w:rPr>
          <w:sz w:val="26"/>
          <w:szCs w:val="26"/>
        </w:rPr>
        <w:t>, the Commission recognized that a fully functional smart meter involves an entire network</w:t>
      </w:r>
      <w:r w:rsidR="006529FB">
        <w:rPr>
          <w:sz w:val="26"/>
          <w:szCs w:val="26"/>
        </w:rPr>
        <w:t xml:space="preserve">, including the meter, two-way communication, computer hardware and software, and trained support personnel.  The Commission further recognized that EDCs need time to select and install the required smart meter network components and to train support personnel.  </w:t>
      </w:r>
      <w:r w:rsidR="006529FB">
        <w:rPr>
          <w:i/>
          <w:sz w:val="26"/>
          <w:szCs w:val="26"/>
        </w:rPr>
        <w:t>Im</w:t>
      </w:r>
      <w:r w:rsidR="006529FB" w:rsidRPr="00903D29">
        <w:rPr>
          <w:i/>
          <w:sz w:val="26"/>
          <w:szCs w:val="26"/>
        </w:rPr>
        <w:t>plementation Order</w:t>
      </w:r>
      <w:r w:rsidR="006529FB">
        <w:rPr>
          <w:i/>
          <w:sz w:val="26"/>
          <w:szCs w:val="26"/>
        </w:rPr>
        <w:t xml:space="preserve"> </w:t>
      </w:r>
      <w:r w:rsidR="006529FB">
        <w:rPr>
          <w:sz w:val="26"/>
          <w:szCs w:val="26"/>
        </w:rPr>
        <w:t xml:space="preserve">at 6.  Consequently, the Commission granted a network development and installation grace period of up to 30 months following plan approval.  </w:t>
      </w:r>
      <w:r w:rsidR="009B071F">
        <w:rPr>
          <w:sz w:val="26"/>
          <w:szCs w:val="26"/>
        </w:rPr>
        <w:t>The Commission directed that a smart meter plan include a proposal for meeting specific milestones within the 30-month grace period, including the following:  assessment of ne</w:t>
      </w:r>
      <w:r w:rsidR="00842513">
        <w:rPr>
          <w:sz w:val="26"/>
          <w:szCs w:val="26"/>
        </w:rPr>
        <w:t>eds and technological solutions;</w:t>
      </w:r>
      <w:r w:rsidR="009B071F">
        <w:rPr>
          <w:sz w:val="26"/>
          <w:szCs w:val="26"/>
        </w:rPr>
        <w:t xml:space="preserve"> selection of technologi</w:t>
      </w:r>
      <w:r w:rsidR="00842513">
        <w:rPr>
          <w:sz w:val="26"/>
          <w:szCs w:val="26"/>
        </w:rPr>
        <w:t>es and vendors;</w:t>
      </w:r>
      <w:r w:rsidR="009B071F">
        <w:rPr>
          <w:sz w:val="26"/>
          <w:szCs w:val="26"/>
        </w:rPr>
        <w:t xml:space="preserve"> e</w:t>
      </w:r>
      <w:r w:rsidR="00842513">
        <w:rPr>
          <w:sz w:val="26"/>
          <w:szCs w:val="26"/>
        </w:rPr>
        <w:t>stablishment of network designs;</w:t>
      </w:r>
      <w:r w:rsidR="009B071F">
        <w:rPr>
          <w:sz w:val="26"/>
          <w:szCs w:val="26"/>
        </w:rPr>
        <w:t xml:space="preserve"> establishment </w:t>
      </w:r>
      <w:r w:rsidR="00842513">
        <w:rPr>
          <w:sz w:val="26"/>
          <w:szCs w:val="26"/>
        </w:rPr>
        <w:t>of plans for training personnel;</w:t>
      </w:r>
      <w:r w:rsidR="009B071F">
        <w:rPr>
          <w:sz w:val="26"/>
          <w:szCs w:val="26"/>
        </w:rPr>
        <w:t xml:space="preserve"> establishme</w:t>
      </w:r>
      <w:r w:rsidR="00BF01CC">
        <w:rPr>
          <w:sz w:val="26"/>
          <w:szCs w:val="26"/>
        </w:rPr>
        <w:t>nt of plans for installation, t</w:t>
      </w:r>
      <w:r w:rsidR="009B071F">
        <w:rPr>
          <w:sz w:val="26"/>
          <w:szCs w:val="26"/>
        </w:rPr>
        <w:t>e</w:t>
      </w:r>
      <w:r w:rsidR="00BF01CC">
        <w:rPr>
          <w:sz w:val="26"/>
          <w:szCs w:val="26"/>
        </w:rPr>
        <w:t>sting and roll out of support equipment and software;</w:t>
      </w:r>
      <w:r w:rsidR="00A324A7">
        <w:rPr>
          <w:sz w:val="26"/>
          <w:szCs w:val="26"/>
        </w:rPr>
        <w:t xml:space="preserve"> installation, testing and roll out of support equipment and software; establishment of plans to design, test and certify EDI transaction capability consistent with this order; </w:t>
      </w:r>
      <w:r w:rsidR="009D1CAF">
        <w:rPr>
          <w:sz w:val="26"/>
          <w:szCs w:val="26"/>
        </w:rPr>
        <w:t xml:space="preserve">and </w:t>
      </w:r>
      <w:r w:rsidR="00A324A7">
        <w:rPr>
          <w:sz w:val="26"/>
          <w:szCs w:val="26"/>
        </w:rPr>
        <w:t>establishment of plans for installation of meters consistent with the roll out requirements</w:t>
      </w:r>
      <w:r w:rsidR="009D1CAF">
        <w:rPr>
          <w:sz w:val="26"/>
          <w:szCs w:val="26"/>
        </w:rPr>
        <w:t xml:space="preserve"> descri</w:t>
      </w:r>
      <w:r w:rsidR="00A324A7">
        <w:rPr>
          <w:sz w:val="26"/>
          <w:szCs w:val="26"/>
        </w:rPr>
        <w:t xml:space="preserve">bed </w:t>
      </w:r>
      <w:r w:rsidR="009D1CAF">
        <w:rPr>
          <w:sz w:val="26"/>
          <w:szCs w:val="26"/>
        </w:rPr>
        <w:t xml:space="preserve">in the </w:t>
      </w:r>
      <w:r w:rsidR="009D1CAF">
        <w:rPr>
          <w:i/>
          <w:sz w:val="26"/>
          <w:szCs w:val="26"/>
        </w:rPr>
        <w:t>Im</w:t>
      </w:r>
      <w:r w:rsidR="009D1CAF" w:rsidRPr="00903D29">
        <w:rPr>
          <w:i/>
          <w:sz w:val="26"/>
          <w:szCs w:val="26"/>
        </w:rPr>
        <w:t>plementation Order</w:t>
      </w:r>
      <w:r w:rsidR="00A324A7">
        <w:rPr>
          <w:sz w:val="26"/>
          <w:szCs w:val="26"/>
        </w:rPr>
        <w:t xml:space="preserve">.  </w:t>
      </w:r>
      <w:r w:rsidR="00A324A7" w:rsidRPr="00A324A7">
        <w:rPr>
          <w:i/>
          <w:sz w:val="26"/>
          <w:szCs w:val="26"/>
        </w:rPr>
        <w:t>Id</w:t>
      </w:r>
      <w:r w:rsidR="00A324A7">
        <w:rPr>
          <w:sz w:val="26"/>
          <w:szCs w:val="26"/>
        </w:rPr>
        <w:t xml:space="preserve">. at 7-8.  </w:t>
      </w:r>
    </w:p>
    <w:p w:rsidR="004C50EB" w:rsidRDefault="004C50EB" w:rsidP="00F166CD">
      <w:pPr>
        <w:spacing w:line="360" w:lineRule="auto"/>
        <w:ind w:firstLine="1440"/>
        <w:rPr>
          <w:sz w:val="26"/>
          <w:szCs w:val="26"/>
        </w:rPr>
      </w:pPr>
    </w:p>
    <w:p w:rsidR="00BD535B" w:rsidRPr="00523B91" w:rsidRDefault="005678F1" w:rsidP="00F166CD">
      <w:pPr>
        <w:spacing w:line="360" w:lineRule="auto"/>
        <w:ind w:firstLine="1440"/>
        <w:rPr>
          <w:sz w:val="26"/>
          <w:szCs w:val="26"/>
        </w:rPr>
      </w:pPr>
      <w:r>
        <w:rPr>
          <w:sz w:val="26"/>
          <w:szCs w:val="26"/>
        </w:rPr>
        <w:t xml:space="preserve">Although the Companies’ Plan </w:t>
      </w:r>
      <w:r w:rsidR="00FF7412">
        <w:rPr>
          <w:sz w:val="26"/>
          <w:szCs w:val="26"/>
        </w:rPr>
        <w:t xml:space="preserve">includes a proposal for meeting these milestones, </w:t>
      </w:r>
      <w:r w:rsidR="00281BE4">
        <w:rPr>
          <w:sz w:val="26"/>
          <w:szCs w:val="26"/>
        </w:rPr>
        <w:t xml:space="preserve">not </w:t>
      </w:r>
      <w:r w:rsidR="00FF7412">
        <w:rPr>
          <w:sz w:val="26"/>
          <w:szCs w:val="26"/>
        </w:rPr>
        <w:t xml:space="preserve">all of these milestones will be met by the end of the Grace Period.  We agree with the ALJ that, considering that the Companies are starting smart meter </w:t>
      </w:r>
      <w:r w:rsidR="00FF7412">
        <w:rPr>
          <w:sz w:val="26"/>
          <w:szCs w:val="26"/>
        </w:rPr>
        <w:lastRenderedPageBreak/>
        <w:t xml:space="preserve">deployment at the very beginning, the Companies have established good cause for deviating from the </w:t>
      </w:r>
      <w:r w:rsidR="00281BE4">
        <w:rPr>
          <w:sz w:val="26"/>
          <w:szCs w:val="26"/>
        </w:rPr>
        <w:t xml:space="preserve">guidance provided in the </w:t>
      </w:r>
      <w:r w:rsidR="00281BE4" w:rsidRPr="00903D29">
        <w:rPr>
          <w:i/>
          <w:sz w:val="26"/>
          <w:szCs w:val="26"/>
        </w:rPr>
        <w:t>Implementation Order</w:t>
      </w:r>
      <w:r w:rsidR="00523B91">
        <w:rPr>
          <w:i/>
          <w:sz w:val="26"/>
          <w:szCs w:val="26"/>
        </w:rPr>
        <w:t xml:space="preserve"> </w:t>
      </w:r>
      <w:r w:rsidR="00523B91">
        <w:rPr>
          <w:sz w:val="26"/>
          <w:szCs w:val="26"/>
        </w:rPr>
        <w:t>with regard to the installation of its smart meter infrastructure.</w:t>
      </w:r>
      <w:r w:rsidR="001027A3">
        <w:rPr>
          <w:sz w:val="26"/>
          <w:szCs w:val="26"/>
        </w:rPr>
        <w:t xml:space="preserve">  </w:t>
      </w:r>
    </w:p>
    <w:p w:rsidR="00BD535B" w:rsidRDefault="00BD535B" w:rsidP="00BD535B">
      <w:pPr>
        <w:spacing w:line="360" w:lineRule="auto"/>
        <w:ind w:firstLine="1440"/>
        <w:rPr>
          <w:sz w:val="26"/>
          <w:szCs w:val="26"/>
        </w:rPr>
      </w:pPr>
    </w:p>
    <w:p w:rsidR="00B016E8" w:rsidRDefault="00523B91" w:rsidP="00523B91">
      <w:pPr>
        <w:spacing w:line="360" w:lineRule="auto"/>
        <w:ind w:firstLine="1440"/>
        <w:rPr>
          <w:sz w:val="26"/>
          <w:szCs w:val="26"/>
        </w:rPr>
      </w:pPr>
      <w:r>
        <w:rPr>
          <w:sz w:val="26"/>
          <w:szCs w:val="26"/>
        </w:rPr>
        <w:t xml:space="preserve">Moreover, we find that the Companies’ Plan complies with Act 129 and the </w:t>
      </w:r>
      <w:r w:rsidRPr="00523B91">
        <w:rPr>
          <w:i/>
          <w:sz w:val="26"/>
          <w:szCs w:val="26"/>
        </w:rPr>
        <w:t>Implementation Order</w:t>
      </w:r>
      <w:r>
        <w:rPr>
          <w:sz w:val="26"/>
          <w:szCs w:val="26"/>
        </w:rPr>
        <w:t xml:space="preserve"> with regard to the </w:t>
      </w:r>
      <w:r w:rsidR="001027A3">
        <w:rPr>
          <w:sz w:val="26"/>
          <w:szCs w:val="26"/>
        </w:rPr>
        <w:t xml:space="preserve">time frame for </w:t>
      </w:r>
      <w:r w:rsidR="004C50EB">
        <w:rPr>
          <w:sz w:val="26"/>
          <w:szCs w:val="26"/>
        </w:rPr>
        <w:t>full deployment</w:t>
      </w:r>
      <w:r w:rsidR="001027A3">
        <w:rPr>
          <w:sz w:val="26"/>
          <w:szCs w:val="26"/>
        </w:rPr>
        <w:t xml:space="preserve"> of smart meters</w:t>
      </w:r>
      <w:r w:rsidR="004C50EB">
        <w:rPr>
          <w:sz w:val="26"/>
          <w:szCs w:val="26"/>
        </w:rPr>
        <w:t xml:space="preserve">.  </w:t>
      </w:r>
      <w:r w:rsidR="001027A3">
        <w:rPr>
          <w:sz w:val="26"/>
          <w:szCs w:val="26"/>
        </w:rPr>
        <w:t>Act 129 requires that full deployment be completed within fifteen years of Plan approval (i.e., by April 2025).  The Companies’ Plan estimates that full deployment will be completed three years earlier, during 2022.  Th</w:t>
      </w:r>
      <w:r w:rsidR="00E9594E">
        <w:rPr>
          <w:sz w:val="26"/>
          <w:szCs w:val="26"/>
        </w:rPr>
        <w:t>e Plan therefore complies with the Act.</w:t>
      </w:r>
    </w:p>
    <w:p w:rsidR="00B016E8" w:rsidRDefault="00B016E8" w:rsidP="00523B91">
      <w:pPr>
        <w:spacing w:line="360" w:lineRule="auto"/>
        <w:ind w:firstLine="1440"/>
        <w:rPr>
          <w:sz w:val="26"/>
          <w:szCs w:val="26"/>
        </w:rPr>
      </w:pPr>
    </w:p>
    <w:p w:rsidR="00F166CD" w:rsidRDefault="00E9594E" w:rsidP="00523B91">
      <w:pPr>
        <w:spacing w:line="360" w:lineRule="auto"/>
        <w:ind w:firstLine="1440"/>
        <w:rPr>
          <w:sz w:val="26"/>
          <w:szCs w:val="26"/>
        </w:rPr>
      </w:pPr>
      <w:r>
        <w:rPr>
          <w:sz w:val="26"/>
          <w:szCs w:val="26"/>
        </w:rPr>
        <w:t xml:space="preserve">Nevertheless, we believe the Companies can and should aim for full deployment sooner than 2022.  </w:t>
      </w:r>
      <w:r w:rsidR="00B016E8">
        <w:rPr>
          <w:sz w:val="26"/>
          <w:szCs w:val="26"/>
        </w:rPr>
        <w:t xml:space="preserve">Every year that the Companies wait represents money that ratepayers could potentially save on their electric utility bills.  The sooner that customers are given access to tools such as smart meters which allow them to better gauge how their usage patterns correspond to the price of electricity generation, the sooner the customers will have the option of tailoring their individual usage patterns to save money on their electric bills.  </w:t>
      </w:r>
      <w:r w:rsidR="00095DB7">
        <w:rPr>
          <w:sz w:val="26"/>
          <w:szCs w:val="26"/>
        </w:rPr>
        <w:t xml:space="preserve">We strongly advise </w:t>
      </w:r>
      <w:r w:rsidR="00B55DC4">
        <w:rPr>
          <w:sz w:val="26"/>
          <w:szCs w:val="26"/>
        </w:rPr>
        <w:t>FirstEnergy</w:t>
      </w:r>
      <w:r w:rsidR="00095DB7">
        <w:rPr>
          <w:sz w:val="26"/>
          <w:szCs w:val="26"/>
        </w:rPr>
        <w:t xml:space="preserve"> that it is </w:t>
      </w:r>
      <w:r w:rsidR="000832C9">
        <w:rPr>
          <w:sz w:val="26"/>
          <w:szCs w:val="26"/>
        </w:rPr>
        <w:t xml:space="preserve">in </w:t>
      </w:r>
      <w:r w:rsidR="00095DB7">
        <w:rPr>
          <w:sz w:val="26"/>
          <w:szCs w:val="26"/>
        </w:rPr>
        <w:t xml:space="preserve">the best interest of all parties involved, especially its customers, to deploy smart meters </w:t>
      </w:r>
      <w:r w:rsidR="000832C9">
        <w:rPr>
          <w:sz w:val="26"/>
          <w:szCs w:val="26"/>
        </w:rPr>
        <w:t xml:space="preserve">and their supporting infrastructure </w:t>
      </w:r>
      <w:r w:rsidR="00095DB7">
        <w:rPr>
          <w:sz w:val="26"/>
          <w:szCs w:val="26"/>
        </w:rPr>
        <w:t>as soon as safe and reliable operations will allow.</w:t>
      </w:r>
    </w:p>
    <w:p w:rsidR="000832C9" w:rsidRDefault="000832C9" w:rsidP="00523B91">
      <w:pPr>
        <w:spacing w:line="360" w:lineRule="auto"/>
        <w:ind w:firstLine="1440"/>
        <w:rPr>
          <w:sz w:val="26"/>
          <w:szCs w:val="26"/>
        </w:rPr>
      </w:pPr>
    </w:p>
    <w:p w:rsidR="00DE6617" w:rsidRPr="00496D41" w:rsidRDefault="002F5812" w:rsidP="00DE6617">
      <w:pPr>
        <w:pStyle w:val="Heading3"/>
        <w:rPr>
          <w:szCs w:val="26"/>
        </w:rPr>
      </w:pPr>
      <w:bookmarkStart w:id="37" w:name="_Toc259798208"/>
      <w:bookmarkStart w:id="38" w:name="_Toc263848840"/>
      <w:r w:rsidRPr="00496D41">
        <w:rPr>
          <w:szCs w:val="26"/>
        </w:rPr>
        <w:t>2.</w:t>
      </w:r>
      <w:r w:rsidRPr="00496D41">
        <w:rPr>
          <w:szCs w:val="26"/>
        </w:rPr>
        <w:tab/>
        <w:t>S</w:t>
      </w:r>
      <w:r w:rsidR="00A117DD" w:rsidRPr="00496D41">
        <w:rPr>
          <w:szCs w:val="26"/>
        </w:rPr>
        <w:t>mart Meter Technology</w:t>
      </w:r>
      <w:bookmarkEnd w:id="37"/>
      <w:bookmarkEnd w:id="38"/>
    </w:p>
    <w:p w:rsidR="007F71F1" w:rsidRDefault="007F71F1" w:rsidP="00EB3313">
      <w:pPr>
        <w:pStyle w:val="Heading4"/>
        <w:rPr>
          <w:szCs w:val="26"/>
        </w:rPr>
      </w:pPr>
    </w:p>
    <w:p w:rsidR="00EB3313" w:rsidRPr="00496D41" w:rsidRDefault="00EB3313" w:rsidP="00EB3313">
      <w:pPr>
        <w:pStyle w:val="Heading4"/>
        <w:rPr>
          <w:szCs w:val="26"/>
        </w:rPr>
      </w:pPr>
      <w:bookmarkStart w:id="39" w:name="_Toc259798209"/>
      <w:bookmarkStart w:id="40" w:name="_Toc263848841"/>
      <w:r w:rsidRPr="00496D41">
        <w:rPr>
          <w:szCs w:val="26"/>
        </w:rPr>
        <w:t>a.</w:t>
      </w:r>
      <w:r w:rsidRPr="00496D41">
        <w:rPr>
          <w:szCs w:val="26"/>
        </w:rPr>
        <w:tab/>
      </w:r>
      <w:r w:rsidR="00B55DC4">
        <w:rPr>
          <w:szCs w:val="26"/>
        </w:rPr>
        <w:t>FirstEnergy</w:t>
      </w:r>
      <w:r w:rsidRPr="00496D41">
        <w:rPr>
          <w:szCs w:val="26"/>
        </w:rPr>
        <w:t>’s Plan</w:t>
      </w:r>
      <w:bookmarkEnd w:id="39"/>
      <w:bookmarkEnd w:id="40"/>
    </w:p>
    <w:p w:rsidR="00EB3313" w:rsidRDefault="00EB3313" w:rsidP="001C0C31">
      <w:pPr>
        <w:spacing w:line="360" w:lineRule="auto"/>
        <w:ind w:firstLine="2160"/>
        <w:rPr>
          <w:sz w:val="26"/>
          <w:szCs w:val="26"/>
        </w:rPr>
      </w:pPr>
    </w:p>
    <w:p w:rsidR="007F71F1" w:rsidRDefault="003350D8" w:rsidP="003350D8">
      <w:pPr>
        <w:spacing w:line="360" w:lineRule="auto"/>
        <w:ind w:firstLine="1440"/>
        <w:rPr>
          <w:sz w:val="26"/>
          <w:szCs w:val="26"/>
        </w:rPr>
      </w:pPr>
      <w:r>
        <w:rPr>
          <w:sz w:val="26"/>
          <w:szCs w:val="26"/>
        </w:rPr>
        <w:t>The technology characteristics incorporated into the Plan include “equipment and processes that encourage [advanced metering infrastructure], Demand Response and Home Area Networking”</w:t>
      </w:r>
      <w:r w:rsidR="00D0642E">
        <w:rPr>
          <w:sz w:val="26"/>
          <w:szCs w:val="26"/>
        </w:rPr>
        <w:t xml:space="preserve"> (HAN).</w:t>
      </w:r>
      <w:r>
        <w:rPr>
          <w:sz w:val="26"/>
          <w:szCs w:val="26"/>
        </w:rPr>
        <w:t xml:space="preserve">  Plan at 3.  </w:t>
      </w:r>
      <w:r w:rsidR="00DD2B7B">
        <w:rPr>
          <w:sz w:val="26"/>
          <w:szCs w:val="26"/>
        </w:rPr>
        <w:t>T</w:t>
      </w:r>
      <w:r w:rsidR="00D0642E">
        <w:rPr>
          <w:sz w:val="26"/>
          <w:szCs w:val="26"/>
        </w:rPr>
        <w:t xml:space="preserve">he Plan states that </w:t>
      </w:r>
      <w:r w:rsidR="001C3693">
        <w:rPr>
          <w:sz w:val="26"/>
          <w:szCs w:val="26"/>
        </w:rPr>
        <w:t xml:space="preserve">customers will have the ability to obtain un-validated data from the smart meter, if they </w:t>
      </w:r>
      <w:r w:rsidR="001C3693">
        <w:rPr>
          <w:sz w:val="26"/>
          <w:szCs w:val="26"/>
        </w:rPr>
        <w:lastRenderedPageBreak/>
        <w:t>have compatible HAN</w:t>
      </w:r>
      <w:r w:rsidR="00D0642E">
        <w:rPr>
          <w:sz w:val="26"/>
          <w:szCs w:val="26"/>
        </w:rPr>
        <w:t xml:space="preserve"> technology.  Validated data will be made available the next day, for all customers, by way of the </w:t>
      </w:r>
      <w:r w:rsidR="00B55DC4">
        <w:rPr>
          <w:sz w:val="26"/>
          <w:szCs w:val="26"/>
        </w:rPr>
        <w:t>FirstEnergy</w:t>
      </w:r>
      <w:r w:rsidR="00D0642E">
        <w:rPr>
          <w:sz w:val="26"/>
          <w:szCs w:val="26"/>
        </w:rPr>
        <w:t xml:space="preserve"> web site.  </w:t>
      </w:r>
      <w:r w:rsidR="00D0642E">
        <w:rPr>
          <w:i/>
          <w:sz w:val="26"/>
        </w:rPr>
        <w:t xml:space="preserve">Id. </w:t>
      </w:r>
      <w:r w:rsidR="00D0642E">
        <w:rPr>
          <w:sz w:val="26"/>
        </w:rPr>
        <w:t xml:space="preserve">at </w:t>
      </w:r>
      <w:r w:rsidR="00D0642E">
        <w:rPr>
          <w:sz w:val="26"/>
          <w:szCs w:val="26"/>
        </w:rPr>
        <w:t xml:space="preserve">18.  </w:t>
      </w:r>
      <w:r w:rsidR="001C3693">
        <w:rPr>
          <w:sz w:val="26"/>
          <w:szCs w:val="26"/>
        </w:rPr>
        <w:t xml:space="preserve"> </w:t>
      </w:r>
    </w:p>
    <w:p w:rsidR="00B3465B" w:rsidRDefault="00B3465B" w:rsidP="003350D8">
      <w:pPr>
        <w:spacing w:line="360" w:lineRule="auto"/>
        <w:ind w:firstLine="1440"/>
        <w:rPr>
          <w:sz w:val="26"/>
          <w:szCs w:val="26"/>
        </w:rPr>
      </w:pPr>
    </w:p>
    <w:p w:rsidR="004C0BF0" w:rsidRDefault="00B3465B" w:rsidP="003350D8">
      <w:pPr>
        <w:spacing w:line="360" w:lineRule="auto"/>
        <w:ind w:firstLine="1440"/>
        <w:rPr>
          <w:sz w:val="26"/>
          <w:szCs w:val="26"/>
        </w:rPr>
      </w:pPr>
      <w:r>
        <w:rPr>
          <w:sz w:val="26"/>
          <w:szCs w:val="26"/>
        </w:rPr>
        <w:t xml:space="preserve">DEP argued before the ALJ that EDCs are required to deploy smart meters that enable HAN devices.  </w:t>
      </w:r>
      <w:r w:rsidR="004C0BF0">
        <w:rPr>
          <w:sz w:val="26"/>
          <w:szCs w:val="26"/>
        </w:rPr>
        <w:t xml:space="preserve">DEP concluded that the Plan must specify the deployment of smart meters that enable a HAN.  </w:t>
      </w:r>
      <w:r w:rsidR="00CB7A92">
        <w:rPr>
          <w:sz w:val="26"/>
          <w:szCs w:val="26"/>
        </w:rPr>
        <w:t xml:space="preserve">DEP MB at 8.  </w:t>
      </w:r>
    </w:p>
    <w:p w:rsidR="00CB7A92" w:rsidRDefault="00CB7A92" w:rsidP="003350D8">
      <w:pPr>
        <w:spacing w:line="360" w:lineRule="auto"/>
        <w:ind w:firstLine="1440"/>
        <w:rPr>
          <w:sz w:val="26"/>
          <w:szCs w:val="26"/>
        </w:rPr>
      </w:pPr>
    </w:p>
    <w:p w:rsidR="00B3465B" w:rsidRDefault="00B55DC4" w:rsidP="003350D8">
      <w:pPr>
        <w:spacing w:line="360" w:lineRule="auto"/>
        <w:ind w:firstLine="1440"/>
        <w:rPr>
          <w:sz w:val="26"/>
          <w:szCs w:val="26"/>
        </w:rPr>
      </w:pPr>
      <w:r>
        <w:rPr>
          <w:sz w:val="26"/>
          <w:szCs w:val="26"/>
        </w:rPr>
        <w:t>FirstEnergy</w:t>
      </w:r>
      <w:r w:rsidR="00B3465B">
        <w:rPr>
          <w:sz w:val="26"/>
          <w:szCs w:val="26"/>
        </w:rPr>
        <w:t>’s Reply Brief stated:</w:t>
      </w:r>
    </w:p>
    <w:p w:rsidR="00463F9B" w:rsidRDefault="00463F9B" w:rsidP="00463F9B">
      <w:pPr>
        <w:ind w:left="1440" w:right="1440"/>
        <w:rPr>
          <w:sz w:val="26"/>
          <w:szCs w:val="26"/>
        </w:rPr>
      </w:pPr>
    </w:p>
    <w:p w:rsidR="00463F9B" w:rsidRDefault="00463F9B" w:rsidP="00463F9B">
      <w:pPr>
        <w:ind w:left="1440" w:right="1440"/>
        <w:rPr>
          <w:sz w:val="26"/>
          <w:szCs w:val="26"/>
        </w:rPr>
      </w:pPr>
      <w:r>
        <w:rPr>
          <w:sz w:val="26"/>
          <w:szCs w:val="26"/>
        </w:rPr>
        <w:t>[T]he Companies confirm that they will provide smart meters that fully comply with the definition of smart meters set forth in Section 2807(g) and the Implementation Order, including the capability to furnish data through a ‘HAN or similarly capable method of open protocols.’</w:t>
      </w:r>
    </w:p>
    <w:p w:rsidR="00463F9B" w:rsidRDefault="00463F9B" w:rsidP="00463F9B">
      <w:pPr>
        <w:spacing w:line="360" w:lineRule="auto"/>
        <w:ind w:left="1440" w:right="1440"/>
        <w:rPr>
          <w:sz w:val="26"/>
          <w:szCs w:val="26"/>
        </w:rPr>
      </w:pPr>
    </w:p>
    <w:p w:rsidR="00463F9B" w:rsidRDefault="00B55DC4" w:rsidP="00463F9B">
      <w:pPr>
        <w:spacing w:line="360" w:lineRule="auto"/>
        <w:rPr>
          <w:sz w:val="26"/>
          <w:szCs w:val="26"/>
        </w:rPr>
      </w:pPr>
      <w:r>
        <w:rPr>
          <w:sz w:val="26"/>
          <w:szCs w:val="26"/>
        </w:rPr>
        <w:t>FirstEnergy</w:t>
      </w:r>
      <w:r w:rsidR="00463F9B">
        <w:rPr>
          <w:sz w:val="26"/>
          <w:szCs w:val="26"/>
        </w:rPr>
        <w:t xml:space="preserve"> RB at 11.</w:t>
      </w:r>
    </w:p>
    <w:p w:rsidR="007F71F1" w:rsidRPr="00496D41" w:rsidRDefault="007F71F1" w:rsidP="001C0C31">
      <w:pPr>
        <w:spacing w:line="360" w:lineRule="auto"/>
        <w:ind w:firstLine="2160"/>
        <w:rPr>
          <w:sz w:val="26"/>
          <w:szCs w:val="26"/>
        </w:rPr>
      </w:pPr>
    </w:p>
    <w:p w:rsidR="00EB3313" w:rsidRPr="00496D41" w:rsidRDefault="00EB3313" w:rsidP="001C0C31">
      <w:pPr>
        <w:pStyle w:val="Heading4"/>
        <w:rPr>
          <w:szCs w:val="26"/>
        </w:rPr>
      </w:pPr>
      <w:bookmarkStart w:id="41" w:name="_Toc259798210"/>
      <w:bookmarkStart w:id="42" w:name="_Toc263848842"/>
      <w:r w:rsidRPr="00496D41">
        <w:rPr>
          <w:szCs w:val="26"/>
        </w:rPr>
        <w:t>b.</w:t>
      </w:r>
      <w:r w:rsidRPr="00496D41">
        <w:rPr>
          <w:szCs w:val="26"/>
        </w:rPr>
        <w:tab/>
        <w:t>ALJ’s Recommendation</w:t>
      </w:r>
      <w:bookmarkEnd w:id="41"/>
      <w:bookmarkEnd w:id="42"/>
    </w:p>
    <w:p w:rsidR="00EB3313" w:rsidRDefault="00EB3313" w:rsidP="001C0C31">
      <w:pPr>
        <w:spacing w:line="360" w:lineRule="auto"/>
        <w:ind w:firstLine="2160"/>
        <w:rPr>
          <w:sz w:val="26"/>
          <w:szCs w:val="26"/>
        </w:rPr>
      </w:pPr>
    </w:p>
    <w:p w:rsidR="009568FE" w:rsidRDefault="00B0746E" w:rsidP="000E1F38">
      <w:pPr>
        <w:spacing w:line="360" w:lineRule="auto"/>
        <w:ind w:firstLine="1440"/>
        <w:rPr>
          <w:sz w:val="26"/>
          <w:szCs w:val="26"/>
        </w:rPr>
      </w:pPr>
      <w:r>
        <w:rPr>
          <w:sz w:val="26"/>
          <w:szCs w:val="26"/>
        </w:rPr>
        <w:t xml:space="preserve">The Initial Decision did not explicitly address this issue.  The ALJ, however, </w:t>
      </w:r>
      <w:r w:rsidR="004C0BF0">
        <w:rPr>
          <w:sz w:val="26"/>
          <w:szCs w:val="26"/>
        </w:rPr>
        <w:t>approved the Plans</w:t>
      </w:r>
      <w:r w:rsidR="00CB7A92">
        <w:rPr>
          <w:sz w:val="26"/>
          <w:szCs w:val="26"/>
        </w:rPr>
        <w:t xml:space="preserve"> with modifications</w:t>
      </w:r>
      <w:r>
        <w:rPr>
          <w:sz w:val="26"/>
          <w:szCs w:val="26"/>
        </w:rPr>
        <w:t xml:space="preserve"> not pertinent here.  That is, the</w:t>
      </w:r>
      <w:r w:rsidR="00CB7A92">
        <w:rPr>
          <w:sz w:val="26"/>
          <w:szCs w:val="26"/>
        </w:rPr>
        <w:t xml:space="preserve"> Initial Decision did not require the Plans to specify the deployment of smart meters that enable a HAN.</w:t>
      </w:r>
    </w:p>
    <w:p w:rsidR="009568FE" w:rsidRPr="00496D41" w:rsidRDefault="009568FE" w:rsidP="001C0C31">
      <w:pPr>
        <w:spacing w:line="360" w:lineRule="auto"/>
        <w:ind w:firstLine="2160"/>
        <w:rPr>
          <w:sz w:val="26"/>
          <w:szCs w:val="26"/>
        </w:rPr>
      </w:pPr>
    </w:p>
    <w:p w:rsidR="00EB3313" w:rsidRPr="00496D41" w:rsidRDefault="00EB3313" w:rsidP="001C0C31">
      <w:pPr>
        <w:pStyle w:val="Heading4"/>
        <w:rPr>
          <w:szCs w:val="26"/>
        </w:rPr>
      </w:pPr>
      <w:bookmarkStart w:id="43" w:name="_Toc259798211"/>
      <w:bookmarkStart w:id="44" w:name="_Toc263848843"/>
      <w:r w:rsidRPr="00496D41">
        <w:rPr>
          <w:szCs w:val="26"/>
        </w:rPr>
        <w:t>c.</w:t>
      </w:r>
      <w:r w:rsidRPr="00496D41">
        <w:rPr>
          <w:szCs w:val="26"/>
        </w:rPr>
        <w:tab/>
        <w:t>Positions of the Parties</w:t>
      </w:r>
      <w:bookmarkEnd w:id="43"/>
      <w:bookmarkEnd w:id="44"/>
    </w:p>
    <w:p w:rsidR="00EB3313" w:rsidRDefault="00EB3313" w:rsidP="001C0C31">
      <w:pPr>
        <w:spacing w:line="360" w:lineRule="auto"/>
        <w:rPr>
          <w:sz w:val="26"/>
          <w:szCs w:val="26"/>
        </w:rPr>
      </w:pPr>
    </w:p>
    <w:p w:rsidR="008363DF" w:rsidRPr="00E47803" w:rsidRDefault="007F71F1" w:rsidP="001C0C31">
      <w:pPr>
        <w:spacing w:line="360" w:lineRule="auto"/>
        <w:ind w:firstLine="1440"/>
        <w:rPr>
          <w:sz w:val="26"/>
        </w:rPr>
      </w:pPr>
      <w:r>
        <w:rPr>
          <w:sz w:val="26"/>
          <w:szCs w:val="26"/>
        </w:rPr>
        <w:t>DEP</w:t>
      </w:r>
      <w:r w:rsidR="00702290">
        <w:rPr>
          <w:sz w:val="26"/>
          <w:szCs w:val="26"/>
        </w:rPr>
        <w:t>’s Exception 1</w:t>
      </w:r>
      <w:r>
        <w:rPr>
          <w:sz w:val="26"/>
          <w:szCs w:val="26"/>
        </w:rPr>
        <w:t xml:space="preserve"> argues that the ALJ erred </w:t>
      </w:r>
      <w:r w:rsidR="001C0C31">
        <w:rPr>
          <w:sz w:val="26"/>
          <w:szCs w:val="26"/>
        </w:rPr>
        <w:t xml:space="preserve">by not explicitly ordering </w:t>
      </w:r>
      <w:r w:rsidR="00B55DC4">
        <w:rPr>
          <w:sz w:val="26"/>
          <w:szCs w:val="26"/>
        </w:rPr>
        <w:t>FirstEnergy</w:t>
      </w:r>
      <w:r w:rsidR="001C0C31">
        <w:rPr>
          <w:sz w:val="26"/>
          <w:szCs w:val="26"/>
        </w:rPr>
        <w:t xml:space="preserve"> “to provide meters that meet the definition of ‘smart meter technology’ under Act 129 and the Commission’s </w:t>
      </w:r>
      <w:r w:rsidR="001C0C31">
        <w:rPr>
          <w:i/>
          <w:sz w:val="26"/>
        </w:rPr>
        <w:t>Implementation Order.</w:t>
      </w:r>
      <w:r w:rsidR="001C0C31">
        <w:rPr>
          <w:sz w:val="26"/>
        </w:rPr>
        <w:t xml:space="preserve">”  DEP Exc. at 4.  According to DEP, the critical element of the </w:t>
      </w:r>
      <w:r w:rsidR="007925BD">
        <w:rPr>
          <w:sz w:val="26"/>
        </w:rPr>
        <w:t xml:space="preserve">statutory </w:t>
      </w:r>
      <w:r w:rsidR="001C0C31">
        <w:rPr>
          <w:sz w:val="26"/>
        </w:rPr>
        <w:t xml:space="preserve">definition of “smart meter technology” is that </w:t>
      </w:r>
      <w:r w:rsidR="001C0C31">
        <w:rPr>
          <w:sz w:val="26"/>
        </w:rPr>
        <w:lastRenderedPageBreak/>
        <w:t xml:space="preserve">the </w:t>
      </w:r>
      <w:r w:rsidR="009126F3">
        <w:rPr>
          <w:sz w:val="26"/>
        </w:rPr>
        <w:t xml:space="preserve">technology allows the </w:t>
      </w:r>
      <w:r w:rsidR="001C0C31">
        <w:rPr>
          <w:sz w:val="26"/>
        </w:rPr>
        <w:t xml:space="preserve">customer </w:t>
      </w:r>
      <w:r w:rsidR="008363DF">
        <w:rPr>
          <w:sz w:val="26"/>
        </w:rPr>
        <w:t>t</w:t>
      </w:r>
      <w:r w:rsidR="009126F3">
        <w:rPr>
          <w:sz w:val="26"/>
        </w:rPr>
        <w:t xml:space="preserve">o establish the automatic control of his electricity consumption through the smart meter.  </w:t>
      </w:r>
      <w:r w:rsidR="00E47803">
        <w:rPr>
          <w:sz w:val="26"/>
        </w:rPr>
        <w:t xml:space="preserve">DEP notes that the </w:t>
      </w:r>
      <w:r w:rsidR="00E47803">
        <w:rPr>
          <w:i/>
          <w:sz w:val="26"/>
        </w:rPr>
        <w:t xml:space="preserve">Implementation Order </w:t>
      </w:r>
      <w:r w:rsidR="00E47803" w:rsidRPr="00E47803">
        <w:rPr>
          <w:sz w:val="26"/>
        </w:rPr>
        <w:t>states:</w:t>
      </w:r>
    </w:p>
    <w:p w:rsidR="008363DF" w:rsidRDefault="008363DF" w:rsidP="00E47803">
      <w:pPr>
        <w:ind w:firstLine="1440"/>
        <w:rPr>
          <w:sz w:val="26"/>
        </w:rPr>
      </w:pPr>
    </w:p>
    <w:p w:rsidR="00E47803" w:rsidRDefault="00E47803" w:rsidP="00E47803">
      <w:pPr>
        <w:tabs>
          <w:tab w:val="left" w:pos="1440"/>
        </w:tabs>
        <w:ind w:left="1440" w:right="1440"/>
        <w:rPr>
          <w:sz w:val="26"/>
        </w:rPr>
      </w:pPr>
      <w:r>
        <w:rPr>
          <w:sz w:val="26"/>
        </w:rPr>
        <w:t xml:space="preserve">[T]he Commission will require EDC smart meters to have a capability to provide raw near real-time consumption data through a </w:t>
      </w:r>
      <w:r w:rsidR="008F5EAD">
        <w:rPr>
          <w:sz w:val="26"/>
        </w:rPr>
        <w:t>[home area network (</w:t>
      </w:r>
      <w:r>
        <w:rPr>
          <w:sz w:val="26"/>
        </w:rPr>
        <w:t>HAN</w:t>
      </w:r>
      <w:r w:rsidR="008F5EAD">
        <w:rPr>
          <w:sz w:val="26"/>
        </w:rPr>
        <w:t>)]</w:t>
      </w:r>
      <w:r>
        <w:rPr>
          <w:sz w:val="26"/>
        </w:rPr>
        <w:t xml:space="preserve"> or similarly capable method of open protocols.  This delivery method should also be capable of providing pricing signals to support real-time and time-of-use pr</w:t>
      </w:r>
      <w:r w:rsidR="005F2B8B">
        <w:rPr>
          <w:sz w:val="26"/>
        </w:rPr>
        <w:t xml:space="preserve">icing programs, as well as energy efficiency and demand response programs. </w:t>
      </w:r>
    </w:p>
    <w:p w:rsidR="008F5EAD" w:rsidRDefault="008F5EAD" w:rsidP="001C0C31">
      <w:pPr>
        <w:spacing w:line="360" w:lineRule="auto"/>
        <w:ind w:firstLine="1440"/>
        <w:rPr>
          <w:sz w:val="26"/>
        </w:rPr>
      </w:pPr>
    </w:p>
    <w:p w:rsidR="00E81E49" w:rsidRDefault="007925BD" w:rsidP="008F5EAD">
      <w:pPr>
        <w:spacing w:line="360" w:lineRule="auto"/>
        <w:rPr>
          <w:sz w:val="26"/>
        </w:rPr>
      </w:pPr>
      <w:r>
        <w:rPr>
          <w:sz w:val="26"/>
        </w:rPr>
        <w:t xml:space="preserve">DEP </w:t>
      </w:r>
      <w:r w:rsidR="008F5EAD">
        <w:rPr>
          <w:sz w:val="26"/>
        </w:rPr>
        <w:t xml:space="preserve">Exc. at 5 (quoting </w:t>
      </w:r>
      <w:r w:rsidR="008F5EAD">
        <w:rPr>
          <w:i/>
          <w:sz w:val="26"/>
        </w:rPr>
        <w:t>Implementation Order</w:t>
      </w:r>
      <w:r w:rsidR="008F5EAD">
        <w:rPr>
          <w:sz w:val="26"/>
        </w:rPr>
        <w:t xml:space="preserve"> </w:t>
      </w:r>
      <w:r>
        <w:rPr>
          <w:sz w:val="26"/>
        </w:rPr>
        <w:t>at</w:t>
      </w:r>
      <w:r w:rsidR="008F5EAD">
        <w:rPr>
          <w:sz w:val="26"/>
        </w:rPr>
        <w:t xml:space="preserve"> 23.  Consequently, DEP asks the Commission to order </w:t>
      </w:r>
      <w:r w:rsidR="00B55DC4">
        <w:rPr>
          <w:sz w:val="26"/>
        </w:rPr>
        <w:t>FirstEnergy</w:t>
      </w:r>
      <w:r>
        <w:rPr>
          <w:sz w:val="26"/>
        </w:rPr>
        <w:t xml:space="preserve"> t</w:t>
      </w:r>
      <w:r w:rsidR="008F5EAD">
        <w:rPr>
          <w:sz w:val="26"/>
        </w:rPr>
        <w:t>o</w:t>
      </w:r>
      <w:r>
        <w:rPr>
          <w:sz w:val="26"/>
        </w:rPr>
        <w:t xml:space="preserve"> deploy smart meters that enable </w:t>
      </w:r>
      <w:r w:rsidR="008363DF">
        <w:rPr>
          <w:sz w:val="26"/>
        </w:rPr>
        <w:t>a HAN device or a similarly capable method with open protocols.  DEP Exc. at 6.</w:t>
      </w:r>
    </w:p>
    <w:p w:rsidR="00E81E49" w:rsidRDefault="00E81E49" w:rsidP="008F5EAD">
      <w:pPr>
        <w:spacing w:line="360" w:lineRule="auto"/>
        <w:rPr>
          <w:sz w:val="26"/>
        </w:rPr>
      </w:pPr>
    </w:p>
    <w:p w:rsidR="004B5A78" w:rsidRDefault="00B55DC4" w:rsidP="00E81E49">
      <w:pPr>
        <w:spacing w:line="360" w:lineRule="auto"/>
        <w:ind w:firstLine="1440"/>
        <w:rPr>
          <w:sz w:val="26"/>
          <w:szCs w:val="26"/>
        </w:rPr>
      </w:pPr>
      <w:r>
        <w:rPr>
          <w:sz w:val="26"/>
          <w:szCs w:val="26"/>
        </w:rPr>
        <w:t>FirstEnergy</w:t>
      </w:r>
      <w:r w:rsidR="00DB011C">
        <w:rPr>
          <w:sz w:val="26"/>
          <w:szCs w:val="26"/>
        </w:rPr>
        <w:t xml:space="preserve"> states “What DEP requests, while unnecessary, is not otherwise objectionable.”  </w:t>
      </w:r>
      <w:r>
        <w:rPr>
          <w:sz w:val="26"/>
          <w:szCs w:val="26"/>
        </w:rPr>
        <w:t>FirstEnergy</w:t>
      </w:r>
      <w:r w:rsidR="00DB011C">
        <w:rPr>
          <w:sz w:val="26"/>
          <w:szCs w:val="26"/>
        </w:rPr>
        <w:t xml:space="preserve"> R.Exc. at 2.  The Companies</w:t>
      </w:r>
      <w:r w:rsidR="00CF572C">
        <w:rPr>
          <w:sz w:val="26"/>
          <w:szCs w:val="26"/>
        </w:rPr>
        <w:t xml:space="preserve"> point out that their </w:t>
      </w:r>
      <w:r w:rsidR="00DB011C">
        <w:rPr>
          <w:sz w:val="26"/>
          <w:szCs w:val="26"/>
        </w:rPr>
        <w:t>R</w:t>
      </w:r>
      <w:r w:rsidR="00B0746E">
        <w:rPr>
          <w:sz w:val="26"/>
          <w:szCs w:val="26"/>
        </w:rPr>
        <w:t>eply Brief</w:t>
      </w:r>
      <w:r w:rsidR="00DB011C">
        <w:rPr>
          <w:sz w:val="26"/>
          <w:szCs w:val="26"/>
        </w:rPr>
        <w:t xml:space="preserve"> stated that the Companies will provide smart meters that include the capability to furnish data through a HAN or a similarly capable method of open protocols.  </w:t>
      </w:r>
      <w:r>
        <w:rPr>
          <w:sz w:val="26"/>
          <w:szCs w:val="26"/>
        </w:rPr>
        <w:t>FirstEnergy</w:t>
      </w:r>
      <w:r w:rsidR="00CF572C">
        <w:rPr>
          <w:sz w:val="26"/>
          <w:szCs w:val="26"/>
        </w:rPr>
        <w:t xml:space="preserve"> </w:t>
      </w:r>
      <w:r w:rsidR="00DB011C">
        <w:rPr>
          <w:sz w:val="26"/>
          <w:szCs w:val="26"/>
        </w:rPr>
        <w:t>R</w:t>
      </w:r>
      <w:r w:rsidR="00CF572C">
        <w:rPr>
          <w:sz w:val="26"/>
          <w:szCs w:val="26"/>
        </w:rPr>
        <w:t>B at 11.</w:t>
      </w:r>
    </w:p>
    <w:p w:rsidR="004B5A78" w:rsidRDefault="004B5A78" w:rsidP="00E81E49">
      <w:pPr>
        <w:spacing w:line="360" w:lineRule="auto"/>
        <w:ind w:firstLine="1440"/>
        <w:rPr>
          <w:sz w:val="26"/>
          <w:szCs w:val="26"/>
        </w:rPr>
      </w:pPr>
    </w:p>
    <w:p w:rsidR="00E81E49" w:rsidRDefault="00E81E49" w:rsidP="00E81E49">
      <w:pPr>
        <w:spacing w:line="360" w:lineRule="auto"/>
        <w:ind w:firstLine="1440"/>
        <w:rPr>
          <w:sz w:val="26"/>
          <w:szCs w:val="26"/>
        </w:rPr>
      </w:pPr>
      <w:r>
        <w:rPr>
          <w:sz w:val="26"/>
          <w:szCs w:val="26"/>
        </w:rPr>
        <w:t xml:space="preserve">No other Party addressed this aspect of the Initial Decision. </w:t>
      </w:r>
    </w:p>
    <w:p w:rsidR="007F71F1" w:rsidRPr="00496D41" w:rsidRDefault="007F71F1" w:rsidP="001C0C31">
      <w:pPr>
        <w:spacing w:line="360" w:lineRule="auto"/>
        <w:rPr>
          <w:sz w:val="26"/>
          <w:szCs w:val="26"/>
        </w:rPr>
      </w:pPr>
    </w:p>
    <w:p w:rsidR="00EB3313" w:rsidRPr="00496D41" w:rsidRDefault="00EB3313" w:rsidP="001C0C31">
      <w:pPr>
        <w:pStyle w:val="Heading4"/>
        <w:rPr>
          <w:szCs w:val="26"/>
        </w:rPr>
      </w:pPr>
      <w:bookmarkStart w:id="45" w:name="_Toc259798212"/>
      <w:bookmarkStart w:id="46" w:name="_Toc263848844"/>
      <w:r w:rsidRPr="00496D41">
        <w:rPr>
          <w:szCs w:val="26"/>
        </w:rPr>
        <w:t>d.</w:t>
      </w:r>
      <w:r w:rsidRPr="00496D41">
        <w:rPr>
          <w:szCs w:val="26"/>
        </w:rPr>
        <w:tab/>
        <w:t>Disposition</w:t>
      </w:r>
      <w:bookmarkEnd w:id="45"/>
      <w:bookmarkEnd w:id="46"/>
    </w:p>
    <w:p w:rsidR="00EB3313" w:rsidRPr="00496D41" w:rsidRDefault="00EB3313" w:rsidP="001C0C31">
      <w:pPr>
        <w:spacing w:line="360" w:lineRule="auto"/>
        <w:rPr>
          <w:sz w:val="26"/>
          <w:szCs w:val="26"/>
        </w:rPr>
      </w:pPr>
    </w:p>
    <w:p w:rsidR="00EB3313" w:rsidRPr="00496D41" w:rsidRDefault="000F1DCE" w:rsidP="000F1DCE">
      <w:pPr>
        <w:spacing w:line="360" w:lineRule="auto"/>
        <w:ind w:firstLine="1440"/>
        <w:rPr>
          <w:sz w:val="26"/>
          <w:szCs w:val="26"/>
        </w:rPr>
      </w:pPr>
      <w:r>
        <w:rPr>
          <w:sz w:val="26"/>
          <w:szCs w:val="26"/>
        </w:rPr>
        <w:t xml:space="preserve">We will deny DEP’s Exception </w:t>
      </w:r>
      <w:r w:rsidR="00702290">
        <w:rPr>
          <w:sz w:val="26"/>
          <w:szCs w:val="26"/>
        </w:rPr>
        <w:t xml:space="preserve">1.  The Companies have stated that they will fully comply with the definition of smart meters, including the capability to furnish data through a HAN or similarly capable method of open protocols.  The Companies have committed to meet the terms of the </w:t>
      </w:r>
      <w:r w:rsidR="00702290" w:rsidRPr="00702290">
        <w:rPr>
          <w:i/>
          <w:sz w:val="26"/>
          <w:szCs w:val="26"/>
        </w:rPr>
        <w:t>Implementation Order</w:t>
      </w:r>
      <w:r w:rsidR="00702290">
        <w:rPr>
          <w:sz w:val="26"/>
          <w:szCs w:val="26"/>
        </w:rPr>
        <w:t xml:space="preserve">.  </w:t>
      </w:r>
      <w:r w:rsidR="00B55DC4">
        <w:rPr>
          <w:sz w:val="26"/>
          <w:szCs w:val="26"/>
        </w:rPr>
        <w:t>FirstEnergy</w:t>
      </w:r>
      <w:r w:rsidR="00702290">
        <w:rPr>
          <w:sz w:val="26"/>
          <w:szCs w:val="26"/>
        </w:rPr>
        <w:t xml:space="preserve"> RB at 11.  If the Companies later propose to modify their Plan in a way that would alter this </w:t>
      </w:r>
      <w:r w:rsidR="00702290">
        <w:rPr>
          <w:sz w:val="26"/>
          <w:szCs w:val="26"/>
        </w:rPr>
        <w:lastRenderedPageBreak/>
        <w:t xml:space="preserve">commitment, they should file such Plan modification with the Commission and the Parties to this proceeding.  </w:t>
      </w:r>
    </w:p>
    <w:p w:rsidR="00DE6617" w:rsidRDefault="00DE6617" w:rsidP="002F5812">
      <w:pPr>
        <w:spacing w:line="360" w:lineRule="auto"/>
        <w:ind w:firstLine="2160"/>
        <w:rPr>
          <w:sz w:val="26"/>
          <w:szCs w:val="26"/>
        </w:rPr>
      </w:pPr>
    </w:p>
    <w:p w:rsidR="002F5812" w:rsidRPr="005F7DB5" w:rsidRDefault="00A117DD" w:rsidP="00A117DD">
      <w:pPr>
        <w:pStyle w:val="Heading3"/>
      </w:pPr>
      <w:bookmarkStart w:id="47" w:name="_Toc259798213"/>
      <w:bookmarkStart w:id="48" w:name="_Toc263848845"/>
      <w:r>
        <w:t>3.</w:t>
      </w:r>
      <w:r>
        <w:tab/>
        <w:t>Impact on “Vulnerable” Customers</w:t>
      </w:r>
      <w:bookmarkEnd w:id="47"/>
      <w:bookmarkEnd w:id="48"/>
      <w:r>
        <w:t xml:space="preserve"> </w:t>
      </w:r>
    </w:p>
    <w:p w:rsidR="008E0B70" w:rsidRDefault="008E0B70" w:rsidP="00EB3313">
      <w:pPr>
        <w:pStyle w:val="Heading4"/>
      </w:pPr>
    </w:p>
    <w:p w:rsidR="00EB3313" w:rsidRDefault="00EB3313" w:rsidP="00EB3313">
      <w:pPr>
        <w:pStyle w:val="Heading4"/>
      </w:pPr>
      <w:bookmarkStart w:id="49" w:name="_Toc259798214"/>
      <w:bookmarkStart w:id="50" w:name="_Toc263848846"/>
      <w:r>
        <w:t>a.</w:t>
      </w:r>
      <w:r>
        <w:tab/>
      </w:r>
      <w:r w:rsidR="00B55DC4">
        <w:t>FirstEnergy</w:t>
      </w:r>
      <w:r>
        <w:t>’s Plan</w:t>
      </w:r>
      <w:bookmarkEnd w:id="49"/>
      <w:bookmarkEnd w:id="50"/>
    </w:p>
    <w:p w:rsidR="00EB3313" w:rsidRDefault="00EB3313" w:rsidP="008E0B70">
      <w:pPr>
        <w:spacing w:line="360" w:lineRule="auto"/>
        <w:ind w:firstLine="2160"/>
        <w:rPr>
          <w:sz w:val="26"/>
          <w:szCs w:val="26"/>
        </w:rPr>
      </w:pPr>
    </w:p>
    <w:p w:rsidR="0015639A" w:rsidRDefault="006C3BDA" w:rsidP="0015639A">
      <w:pPr>
        <w:spacing w:line="360" w:lineRule="auto"/>
        <w:ind w:firstLine="1440"/>
        <w:rPr>
          <w:sz w:val="26"/>
          <w:szCs w:val="26"/>
        </w:rPr>
      </w:pPr>
      <w:r>
        <w:rPr>
          <w:sz w:val="26"/>
          <w:szCs w:val="26"/>
        </w:rPr>
        <w:t xml:space="preserve">The OCA argued before the ALJ that the Companies’ Plan should be modified to include specific analyses of the impacts of the Plan on “vulnerable” residential customers (low-income customers, customers with disabilities, the elderly, and others who cannot afford bill increases but may not enjoy many of the benefits of smart meter implementation). </w:t>
      </w:r>
      <w:r w:rsidR="00592FE1">
        <w:rPr>
          <w:sz w:val="26"/>
          <w:szCs w:val="26"/>
        </w:rPr>
        <w:t xml:space="preserve">  Based on these analyses, the Companies could develop plans to mitigate the risks to such customers from the cost of the Plan.  OCA MB at 17.  </w:t>
      </w:r>
      <w:r>
        <w:rPr>
          <w:sz w:val="26"/>
          <w:szCs w:val="26"/>
        </w:rPr>
        <w:t xml:space="preserve"> </w:t>
      </w:r>
    </w:p>
    <w:p w:rsidR="0015639A" w:rsidRDefault="0015639A" w:rsidP="008E0B70">
      <w:pPr>
        <w:spacing w:line="360" w:lineRule="auto"/>
        <w:ind w:firstLine="2160"/>
        <w:rPr>
          <w:sz w:val="26"/>
          <w:szCs w:val="26"/>
        </w:rPr>
      </w:pPr>
    </w:p>
    <w:p w:rsidR="0015639A" w:rsidRDefault="003F479B" w:rsidP="003F479B">
      <w:pPr>
        <w:spacing w:line="360" w:lineRule="auto"/>
        <w:ind w:firstLine="1440"/>
        <w:rPr>
          <w:sz w:val="26"/>
          <w:szCs w:val="26"/>
        </w:rPr>
      </w:pPr>
      <w:r>
        <w:rPr>
          <w:sz w:val="26"/>
          <w:szCs w:val="26"/>
        </w:rPr>
        <w:t>The Companies argued against the requested modification in the Plan.  The</w:t>
      </w:r>
      <w:r w:rsidR="00533910">
        <w:rPr>
          <w:sz w:val="26"/>
          <w:szCs w:val="26"/>
        </w:rPr>
        <w:t xml:space="preserve">y noted that they intend to inform “vulnerable” customers about the options for energy efficiencies and conservation that smart meters will enable.  In addition, they </w:t>
      </w:r>
      <w:r>
        <w:rPr>
          <w:sz w:val="26"/>
          <w:szCs w:val="26"/>
        </w:rPr>
        <w:t>noted that the Companies</w:t>
      </w:r>
      <w:r w:rsidR="00533910">
        <w:rPr>
          <w:sz w:val="26"/>
          <w:szCs w:val="26"/>
        </w:rPr>
        <w:t>’</w:t>
      </w:r>
      <w:r>
        <w:rPr>
          <w:sz w:val="26"/>
          <w:szCs w:val="26"/>
        </w:rPr>
        <w:t xml:space="preserve"> </w:t>
      </w:r>
      <w:r w:rsidR="00533910">
        <w:rPr>
          <w:sz w:val="26"/>
          <w:szCs w:val="26"/>
        </w:rPr>
        <w:t xml:space="preserve">Customer Assistance Programs </w:t>
      </w:r>
      <w:r>
        <w:rPr>
          <w:sz w:val="26"/>
          <w:szCs w:val="26"/>
        </w:rPr>
        <w:t xml:space="preserve">would </w:t>
      </w:r>
      <w:r w:rsidR="00533910">
        <w:rPr>
          <w:sz w:val="26"/>
          <w:szCs w:val="26"/>
        </w:rPr>
        <w:t xml:space="preserve">be available to </w:t>
      </w:r>
      <w:r>
        <w:rPr>
          <w:sz w:val="26"/>
          <w:szCs w:val="26"/>
        </w:rPr>
        <w:t>mitigat</w:t>
      </w:r>
      <w:r w:rsidR="00533910">
        <w:rPr>
          <w:sz w:val="26"/>
          <w:szCs w:val="26"/>
        </w:rPr>
        <w:t>e</w:t>
      </w:r>
      <w:r>
        <w:rPr>
          <w:sz w:val="26"/>
          <w:szCs w:val="26"/>
        </w:rPr>
        <w:t xml:space="preserve"> the impacts of smart meter deployment on “vulnerable” customers.  </w:t>
      </w:r>
      <w:r w:rsidR="00B55DC4">
        <w:rPr>
          <w:sz w:val="26"/>
          <w:szCs w:val="26"/>
        </w:rPr>
        <w:t>FirstEnergy</w:t>
      </w:r>
      <w:r w:rsidR="002A2C05">
        <w:rPr>
          <w:sz w:val="26"/>
          <w:szCs w:val="26"/>
        </w:rPr>
        <w:t xml:space="preserve"> MB at 8- 9.</w:t>
      </w:r>
      <w:r>
        <w:rPr>
          <w:sz w:val="26"/>
          <w:szCs w:val="26"/>
        </w:rPr>
        <w:t xml:space="preserve"> </w:t>
      </w:r>
    </w:p>
    <w:p w:rsidR="003F479B" w:rsidRDefault="003F479B" w:rsidP="003F479B">
      <w:pPr>
        <w:spacing w:line="360" w:lineRule="auto"/>
        <w:ind w:firstLine="1440"/>
        <w:rPr>
          <w:sz w:val="26"/>
          <w:szCs w:val="26"/>
        </w:rPr>
      </w:pPr>
    </w:p>
    <w:p w:rsidR="00EB3313" w:rsidRDefault="00EB3313" w:rsidP="008E0B70">
      <w:pPr>
        <w:pStyle w:val="Heading4"/>
      </w:pPr>
      <w:bookmarkStart w:id="51" w:name="_Toc259798215"/>
      <w:bookmarkStart w:id="52" w:name="_Toc263848847"/>
      <w:r>
        <w:t>b.</w:t>
      </w:r>
      <w:r>
        <w:tab/>
        <w:t>ALJ’s Recommendation</w:t>
      </w:r>
      <w:bookmarkEnd w:id="51"/>
      <w:bookmarkEnd w:id="52"/>
    </w:p>
    <w:p w:rsidR="00EB3313" w:rsidRDefault="00EB3313" w:rsidP="008E0B70">
      <w:pPr>
        <w:spacing w:line="360" w:lineRule="auto"/>
        <w:ind w:firstLine="2160"/>
        <w:rPr>
          <w:sz w:val="26"/>
          <w:szCs w:val="26"/>
        </w:rPr>
      </w:pPr>
    </w:p>
    <w:p w:rsidR="00D01AB5" w:rsidRPr="00DA2F4D" w:rsidRDefault="00D01AB5" w:rsidP="00D01AB5">
      <w:pPr>
        <w:spacing w:line="360" w:lineRule="auto"/>
        <w:ind w:firstLine="1440"/>
        <w:rPr>
          <w:sz w:val="26"/>
          <w:szCs w:val="26"/>
        </w:rPr>
      </w:pPr>
      <w:r>
        <w:rPr>
          <w:sz w:val="26"/>
          <w:szCs w:val="26"/>
        </w:rPr>
        <w:t xml:space="preserve">The ALJ explicitly rejected </w:t>
      </w:r>
      <w:r w:rsidR="007C4A07">
        <w:rPr>
          <w:sz w:val="26"/>
          <w:szCs w:val="26"/>
        </w:rPr>
        <w:t xml:space="preserve">the </w:t>
      </w:r>
      <w:r>
        <w:rPr>
          <w:sz w:val="26"/>
          <w:szCs w:val="26"/>
        </w:rPr>
        <w:t xml:space="preserve">OCA’s request that the Plans be modified to address the needs of “vulnerable customers.”  According to the ALJ, neither Act 129 nor the </w:t>
      </w:r>
      <w:r w:rsidR="00DA2F4D">
        <w:rPr>
          <w:i/>
          <w:sz w:val="26"/>
          <w:szCs w:val="26"/>
        </w:rPr>
        <w:t xml:space="preserve">Implementation Order </w:t>
      </w:r>
      <w:r w:rsidR="00DA2F4D">
        <w:rPr>
          <w:sz w:val="26"/>
          <w:szCs w:val="26"/>
        </w:rPr>
        <w:t>provides an exception or accommodation for low-income or other “vulnerable” customers.  “Special needs due to higher bills, which are inevitable in providing for payment for this legislatively-mandated program, will be addressed through traditional means, i.e., customer assistance programs.”  I.D. at 30.</w:t>
      </w:r>
    </w:p>
    <w:p w:rsidR="001A6FD5" w:rsidRDefault="001A6FD5" w:rsidP="001A6FD5">
      <w:pPr>
        <w:spacing w:line="360" w:lineRule="auto"/>
        <w:ind w:firstLine="1440"/>
        <w:rPr>
          <w:sz w:val="26"/>
          <w:szCs w:val="26"/>
        </w:rPr>
      </w:pPr>
    </w:p>
    <w:p w:rsidR="00EB3313" w:rsidRPr="00C94E5F" w:rsidRDefault="00EB3313" w:rsidP="008E0B70">
      <w:pPr>
        <w:pStyle w:val="Heading4"/>
        <w:rPr>
          <w:szCs w:val="26"/>
        </w:rPr>
      </w:pPr>
      <w:bookmarkStart w:id="53" w:name="_Toc259798216"/>
      <w:bookmarkStart w:id="54" w:name="_Toc263848848"/>
      <w:r w:rsidRPr="00C94E5F">
        <w:rPr>
          <w:szCs w:val="26"/>
        </w:rPr>
        <w:t>c.</w:t>
      </w:r>
      <w:r w:rsidRPr="00C94E5F">
        <w:rPr>
          <w:szCs w:val="26"/>
        </w:rPr>
        <w:tab/>
        <w:t>Positions of the Parties</w:t>
      </w:r>
      <w:bookmarkEnd w:id="53"/>
      <w:bookmarkEnd w:id="54"/>
    </w:p>
    <w:p w:rsidR="00EB3313" w:rsidRPr="00C94E5F" w:rsidRDefault="00EB3313" w:rsidP="008E0B70">
      <w:pPr>
        <w:spacing w:line="360" w:lineRule="auto"/>
        <w:rPr>
          <w:sz w:val="26"/>
          <w:szCs w:val="26"/>
        </w:rPr>
      </w:pPr>
    </w:p>
    <w:p w:rsidR="00502C41" w:rsidRDefault="00383AE0" w:rsidP="008E4526">
      <w:pPr>
        <w:spacing w:line="360" w:lineRule="auto"/>
        <w:ind w:firstLine="1440"/>
        <w:rPr>
          <w:sz w:val="26"/>
          <w:szCs w:val="26"/>
        </w:rPr>
      </w:pPr>
      <w:r>
        <w:rPr>
          <w:sz w:val="26"/>
          <w:szCs w:val="26"/>
        </w:rPr>
        <w:t>T</w:t>
      </w:r>
      <w:r w:rsidR="00C94E5F" w:rsidRPr="00C94E5F">
        <w:rPr>
          <w:sz w:val="26"/>
          <w:szCs w:val="26"/>
        </w:rPr>
        <w:t>he OCA</w:t>
      </w:r>
      <w:r>
        <w:rPr>
          <w:sz w:val="26"/>
          <w:szCs w:val="26"/>
        </w:rPr>
        <w:t xml:space="preserve">’s Exceptions </w:t>
      </w:r>
      <w:r w:rsidR="00C94E5F">
        <w:rPr>
          <w:sz w:val="26"/>
          <w:szCs w:val="26"/>
        </w:rPr>
        <w:t>argue that the Com</w:t>
      </w:r>
      <w:r>
        <w:rPr>
          <w:sz w:val="26"/>
          <w:szCs w:val="26"/>
        </w:rPr>
        <w:t xml:space="preserve">panies should be required to take additional steps to address the impacts of the Plan on </w:t>
      </w:r>
      <w:r w:rsidR="00C94E5F">
        <w:rPr>
          <w:sz w:val="26"/>
          <w:szCs w:val="26"/>
        </w:rPr>
        <w:t>“vulnerable” customers</w:t>
      </w:r>
      <w:r>
        <w:rPr>
          <w:sz w:val="26"/>
          <w:szCs w:val="26"/>
        </w:rPr>
        <w:t xml:space="preserve">, rather than relying exclusively on </w:t>
      </w:r>
      <w:r w:rsidR="00C94E5F">
        <w:rPr>
          <w:sz w:val="26"/>
          <w:szCs w:val="26"/>
        </w:rPr>
        <w:t xml:space="preserve">traditional means, such as </w:t>
      </w:r>
      <w:r>
        <w:rPr>
          <w:sz w:val="26"/>
          <w:szCs w:val="26"/>
        </w:rPr>
        <w:t xml:space="preserve">consumer education programs and </w:t>
      </w:r>
      <w:r w:rsidR="00E30121">
        <w:rPr>
          <w:sz w:val="26"/>
          <w:szCs w:val="26"/>
        </w:rPr>
        <w:t>Customer Assistance Program</w:t>
      </w:r>
      <w:r w:rsidR="00C94E5F">
        <w:rPr>
          <w:sz w:val="26"/>
          <w:szCs w:val="26"/>
        </w:rPr>
        <w:t>s.</w:t>
      </w:r>
      <w:r>
        <w:rPr>
          <w:sz w:val="26"/>
          <w:szCs w:val="26"/>
        </w:rPr>
        <w:t xml:space="preserve">  </w:t>
      </w:r>
      <w:r w:rsidR="004F1AAE">
        <w:rPr>
          <w:sz w:val="26"/>
          <w:szCs w:val="26"/>
        </w:rPr>
        <w:t>According to t</w:t>
      </w:r>
      <w:r w:rsidR="009D79D3">
        <w:rPr>
          <w:sz w:val="26"/>
          <w:szCs w:val="26"/>
        </w:rPr>
        <w:t>he OCA</w:t>
      </w:r>
      <w:r w:rsidR="004F1AAE">
        <w:rPr>
          <w:sz w:val="26"/>
          <w:szCs w:val="26"/>
        </w:rPr>
        <w:t xml:space="preserve">, </w:t>
      </w:r>
      <w:r w:rsidR="009D79D3">
        <w:rPr>
          <w:sz w:val="26"/>
          <w:szCs w:val="26"/>
        </w:rPr>
        <w:t xml:space="preserve">traditional means are inadequate to address the needs of “vulnerable” customers for two reasons.  First, the budgets of </w:t>
      </w:r>
      <w:r w:rsidR="00E30121">
        <w:rPr>
          <w:sz w:val="26"/>
          <w:szCs w:val="26"/>
        </w:rPr>
        <w:t>Customer Assistance Program</w:t>
      </w:r>
      <w:r w:rsidR="009D79D3">
        <w:rPr>
          <w:sz w:val="26"/>
          <w:szCs w:val="26"/>
        </w:rPr>
        <w:t xml:space="preserve">s may be </w:t>
      </w:r>
      <w:r w:rsidR="00163F5B">
        <w:rPr>
          <w:sz w:val="26"/>
          <w:szCs w:val="26"/>
        </w:rPr>
        <w:t>in</w:t>
      </w:r>
      <w:r w:rsidR="009D79D3">
        <w:rPr>
          <w:sz w:val="26"/>
          <w:szCs w:val="26"/>
        </w:rPr>
        <w:t xml:space="preserve">sufficient to address the needs of “vulnerable” customers resulting from the smart meter program.  Second, </w:t>
      </w:r>
      <w:r w:rsidR="00163F5B">
        <w:rPr>
          <w:sz w:val="26"/>
          <w:szCs w:val="26"/>
        </w:rPr>
        <w:t>many “vulnerable” customers will be unable to access the benefits of smart meters</w:t>
      </w:r>
      <w:r w:rsidR="005F69C1">
        <w:rPr>
          <w:sz w:val="26"/>
          <w:szCs w:val="26"/>
        </w:rPr>
        <w:t xml:space="preserve"> </w:t>
      </w:r>
      <w:r w:rsidR="00163F5B">
        <w:rPr>
          <w:sz w:val="26"/>
          <w:szCs w:val="26"/>
        </w:rPr>
        <w:t>because those customers cannot afford the necessary initial investment to take advantage of the programs.  OCA Exc. at 4.</w:t>
      </w:r>
    </w:p>
    <w:p w:rsidR="00502C41" w:rsidRDefault="00502C41" w:rsidP="008E4526">
      <w:pPr>
        <w:spacing w:line="360" w:lineRule="auto"/>
        <w:ind w:firstLine="1440"/>
        <w:rPr>
          <w:sz w:val="26"/>
          <w:szCs w:val="26"/>
        </w:rPr>
      </w:pPr>
    </w:p>
    <w:p w:rsidR="004F1AAE" w:rsidRDefault="004F1AAE" w:rsidP="004F1AAE">
      <w:pPr>
        <w:spacing w:line="360" w:lineRule="auto"/>
        <w:ind w:firstLine="1440"/>
        <w:rPr>
          <w:sz w:val="26"/>
          <w:szCs w:val="26"/>
        </w:rPr>
      </w:pPr>
      <w:r>
        <w:rPr>
          <w:sz w:val="26"/>
          <w:szCs w:val="26"/>
        </w:rPr>
        <w:t>The OCA contends that the lack of a specific exception in Act 129 for low-income or otherwise vulnerable customers does not require the rejection of its proposal for additional steps to mitigate the adverse impacts on these customers.  The OCA clarifies that it is not recommending that “vulnerable” customers should be excluded from the Plan.  “Instead, the OCA’s recommendations are intended to minimize any possible adverse impacts of smart metering deployment on such customers through analysis and consideration of the needs of low-income and otherwise vulnerable customers at all stages of program design and deployment.”  OCA Exc. at 4.</w:t>
      </w:r>
    </w:p>
    <w:p w:rsidR="004F1AAE" w:rsidRDefault="004F1AAE" w:rsidP="004F1AAE">
      <w:pPr>
        <w:spacing w:line="360" w:lineRule="auto"/>
        <w:ind w:firstLine="1440"/>
        <w:rPr>
          <w:sz w:val="26"/>
          <w:szCs w:val="26"/>
        </w:rPr>
      </w:pPr>
    </w:p>
    <w:p w:rsidR="00BA58E8" w:rsidRDefault="00CF572C" w:rsidP="00BA58E8">
      <w:pPr>
        <w:spacing w:line="360" w:lineRule="auto"/>
        <w:ind w:firstLine="1440"/>
        <w:rPr>
          <w:sz w:val="26"/>
          <w:szCs w:val="26"/>
        </w:rPr>
      </w:pPr>
      <w:r>
        <w:rPr>
          <w:sz w:val="26"/>
          <w:szCs w:val="26"/>
        </w:rPr>
        <w:t xml:space="preserve">The </w:t>
      </w:r>
      <w:r w:rsidR="00502C41">
        <w:rPr>
          <w:sz w:val="26"/>
          <w:szCs w:val="26"/>
        </w:rPr>
        <w:t xml:space="preserve">OCA contends that the Plans already provide for data gathering and analysis.  </w:t>
      </w:r>
      <w:r w:rsidR="00D41091">
        <w:rPr>
          <w:sz w:val="26"/>
          <w:szCs w:val="26"/>
        </w:rPr>
        <w:t xml:space="preserve">Requiring the Companies to gather and analyze data regarding the usage of “vulnerable” customers therefore would not be burdensome for the Companies. </w:t>
      </w:r>
      <w:r w:rsidR="00BA58E8">
        <w:rPr>
          <w:sz w:val="26"/>
          <w:szCs w:val="26"/>
        </w:rPr>
        <w:t xml:space="preserve"> </w:t>
      </w:r>
      <w:r w:rsidR="00D41091">
        <w:rPr>
          <w:sz w:val="26"/>
          <w:szCs w:val="26"/>
        </w:rPr>
        <w:t xml:space="preserve"> </w:t>
      </w:r>
      <w:r w:rsidR="00163F5B">
        <w:rPr>
          <w:sz w:val="26"/>
          <w:szCs w:val="26"/>
        </w:rPr>
        <w:t xml:space="preserve"> </w:t>
      </w:r>
      <w:r w:rsidR="004F1AAE">
        <w:rPr>
          <w:sz w:val="26"/>
          <w:szCs w:val="26"/>
        </w:rPr>
        <w:t>A</w:t>
      </w:r>
      <w:r w:rsidR="001235AD">
        <w:rPr>
          <w:sz w:val="26"/>
          <w:szCs w:val="26"/>
        </w:rPr>
        <w:t>ddition</w:t>
      </w:r>
      <w:r w:rsidR="004F1AAE">
        <w:rPr>
          <w:sz w:val="26"/>
          <w:szCs w:val="26"/>
        </w:rPr>
        <w:t>al steps</w:t>
      </w:r>
      <w:r w:rsidR="001235AD">
        <w:rPr>
          <w:sz w:val="26"/>
          <w:szCs w:val="26"/>
        </w:rPr>
        <w:t xml:space="preserve"> to</w:t>
      </w:r>
      <w:r w:rsidR="004F1AAE">
        <w:rPr>
          <w:sz w:val="26"/>
          <w:szCs w:val="26"/>
        </w:rPr>
        <w:t xml:space="preserve"> mitigate the adverse impacts on “vulnerable” customers include:  keeping </w:t>
      </w:r>
      <w:r w:rsidR="00BA58E8">
        <w:rPr>
          <w:sz w:val="26"/>
          <w:szCs w:val="26"/>
        </w:rPr>
        <w:t>smart meter deployment costs as low as possible</w:t>
      </w:r>
      <w:r w:rsidR="004F1AAE">
        <w:rPr>
          <w:sz w:val="26"/>
          <w:szCs w:val="26"/>
        </w:rPr>
        <w:t xml:space="preserve"> and recovering Plan costs from residential customers on a volumetric rather than fixed basis</w:t>
      </w:r>
      <w:r w:rsidR="00BA58E8">
        <w:rPr>
          <w:sz w:val="26"/>
          <w:szCs w:val="26"/>
        </w:rPr>
        <w:t>.</w:t>
      </w:r>
      <w:r w:rsidR="004F1AAE">
        <w:rPr>
          <w:sz w:val="26"/>
          <w:szCs w:val="26"/>
        </w:rPr>
        <w:t xml:space="preserve">  </w:t>
      </w:r>
      <w:r w:rsidR="002C7E89">
        <w:rPr>
          <w:sz w:val="26"/>
          <w:szCs w:val="26"/>
        </w:rPr>
        <w:t>OCA Exc. at 5.</w:t>
      </w:r>
    </w:p>
    <w:p w:rsidR="00D66EBB" w:rsidRDefault="00D66EBB" w:rsidP="00BA58E8">
      <w:pPr>
        <w:spacing w:line="360" w:lineRule="auto"/>
        <w:ind w:firstLine="1440"/>
        <w:rPr>
          <w:sz w:val="26"/>
          <w:szCs w:val="26"/>
        </w:rPr>
      </w:pPr>
    </w:p>
    <w:p w:rsidR="00F94FC6" w:rsidRDefault="00943BF6" w:rsidP="00BA58E8">
      <w:pPr>
        <w:spacing w:line="360" w:lineRule="auto"/>
        <w:ind w:firstLine="1440"/>
        <w:rPr>
          <w:sz w:val="26"/>
          <w:szCs w:val="26"/>
        </w:rPr>
      </w:pPr>
      <w:r>
        <w:rPr>
          <w:sz w:val="26"/>
          <w:szCs w:val="26"/>
        </w:rPr>
        <w:t xml:space="preserve">The Companies respond that they already intend to carefully study needs, costs and benefits, so they can select smart meter solutions that not only comply with law but also provide customers with the maximum benefit at the lowest cost.  </w:t>
      </w:r>
      <w:r w:rsidR="00102C85">
        <w:rPr>
          <w:sz w:val="26"/>
          <w:szCs w:val="26"/>
        </w:rPr>
        <w:t xml:space="preserve">The Companies also argue </w:t>
      </w:r>
      <w:r w:rsidR="009C0835">
        <w:rPr>
          <w:sz w:val="26"/>
          <w:szCs w:val="26"/>
        </w:rPr>
        <w:t xml:space="preserve">that they understand the importance of developing information about all customers’ needs and receptiveness to new rate designs.  They argue, however, that the </w:t>
      </w:r>
      <w:r>
        <w:rPr>
          <w:sz w:val="26"/>
          <w:szCs w:val="26"/>
        </w:rPr>
        <w:t xml:space="preserve">Companies should not be bound at this time to specific formats for these analyses.  </w:t>
      </w:r>
      <w:r w:rsidR="00102C85">
        <w:rPr>
          <w:sz w:val="26"/>
          <w:szCs w:val="26"/>
        </w:rPr>
        <w:t xml:space="preserve">The Companies also argue that consumer education, Customer Assistance Programs, and LIHEAP “will substantially mitigate the impact on low-income customers of any increases resulting from the Smart Meter Plan.”  </w:t>
      </w:r>
      <w:r w:rsidR="00B55DC4">
        <w:rPr>
          <w:sz w:val="26"/>
          <w:szCs w:val="26"/>
        </w:rPr>
        <w:t>FirstEnergy</w:t>
      </w:r>
      <w:r w:rsidR="00102C85">
        <w:rPr>
          <w:sz w:val="26"/>
          <w:szCs w:val="26"/>
        </w:rPr>
        <w:t xml:space="preserve"> R.Exc. at 8.</w:t>
      </w:r>
    </w:p>
    <w:p w:rsidR="00102C85" w:rsidRDefault="00102C85" w:rsidP="00BA58E8">
      <w:pPr>
        <w:spacing w:line="360" w:lineRule="auto"/>
        <w:ind w:firstLine="1440"/>
        <w:rPr>
          <w:sz w:val="26"/>
          <w:szCs w:val="26"/>
        </w:rPr>
      </w:pPr>
    </w:p>
    <w:p w:rsidR="00F94FC6" w:rsidRDefault="00F94FC6" w:rsidP="00F94FC6">
      <w:pPr>
        <w:spacing w:line="360" w:lineRule="auto"/>
        <w:ind w:firstLine="1440"/>
        <w:rPr>
          <w:sz w:val="26"/>
          <w:szCs w:val="26"/>
        </w:rPr>
      </w:pPr>
      <w:r>
        <w:rPr>
          <w:sz w:val="26"/>
          <w:szCs w:val="26"/>
        </w:rPr>
        <w:t xml:space="preserve">No other Party addressed this aspect of the Initial Decision. </w:t>
      </w:r>
    </w:p>
    <w:p w:rsidR="00667D53" w:rsidRPr="00C94E5F" w:rsidRDefault="00667D53" w:rsidP="008E0B70">
      <w:pPr>
        <w:spacing w:line="360" w:lineRule="auto"/>
        <w:rPr>
          <w:sz w:val="26"/>
          <w:szCs w:val="26"/>
        </w:rPr>
      </w:pPr>
    </w:p>
    <w:p w:rsidR="00EB3313" w:rsidRPr="00C94E5F" w:rsidRDefault="00EB3313" w:rsidP="008E0B70">
      <w:pPr>
        <w:pStyle w:val="Heading4"/>
        <w:rPr>
          <w:szCs w:val="26"/>
        </w:rPr>
      </w:pPr>
      <w:bookmarkStart w:id="55" w:name="_Toc259798217"/>
      <w:bookmarkStart w:id="56" w:name="_Toc263848849"/>
      <w:r w:rsidRPr="00C94E5F">
        <w:rPr>
          <w:szCs w:val="26"/>
        </w:rPr>
        <w:t>d.</w:t>
      </w:r>
      <w:r w:rsidRPr="00C94E5F">
        <w:rPr>
          <w:szCs w:val="26"/>
        </w:rPr>
        <w:tab/>
        <w:t>Disposition</w:t>
      </w:r>
      <w:bookmarkEnd w:id="55"/>
      <w:bookmarkEnd w:id="56"/>
    </w:p>
    <w:p w:rsidR="004873DC" w:rsidRDefault="004873DC" w:rsidP="004873DC">
      <w:pPr>
        <w:spacing w:line="360" w:lineRule="auto"/>
        <w:ind w:firstLine="1440"/>
        <w:rPr>
          <w:sz w:val="26"/>
          <w:szCs w:val="26"/>
        </w:rPr>
      </w:pPr>
    </w:p>
    <w:p w:rsidR="00EB3313" w:rsidRDefault="004873DC" w:rsidP="004716B3">
      <w:pPr>
        <w:spacing w:line="360" w:lineRule="auto"/>
        <w:ind w:firstLine="1440"/>
        <w:rPr>
          <w:sz w:val="26"/>
          <w:szCs w:val="26"/>
        </w:rPr>
      </w:pPr>
      <w:r>
        <w:rPr>
          <w:sz w:val="26"/>
          <w:szCs w:val="26"/>
        </w:rPr>
        <w:t xml:space="preserve">We agree with the ALJ on this issue.  </w:t>
      </w:r>
      <w:r w:rsidR="007C4971">
        <w:rPr>
          <w:sz w:val="26"/>
          <w:szCs w:val="26"/>
        </w:rPr>
        <w:t>We are sensitive to the possibility that the cost of smart</w:t>
      </w:r>
      <w:r w:rsidR="00470421">
        <w:rPr>
          <w:sz w:val="26"/>
          <w:szCs w:val="26"/>
        </w:rPr>
        <w:t xml:space="preserve"> metering programs will have </w:t>
      </w:r>
      <w:r w:rsidR="007C4971">
        <w:rPr>
          <w:sz w:val="26"/>
          <w:szCs w:val="26"/>
        </w:rPr>
        <w:t xml:space="preserve">adverse </w:t>
      </w:r>
      <w:r w:rsidR="00470421">
        <w:rPr>
          <w:sz w:val="26"/>
          <w:szCs w:val="26"/>
        </w:rPr>
        <w:t xml:space="preserve">financial </w:t>
      </w:r>
      <w:r w:rsidR="007C4971">
        <w:rPr>
          <w:sz w:val="26"/>
          <w:szCs w:val="26"/>
        </w:rPr>
        <w:t>impact</w:t>
      </w:r>
      <w:r w:rsidR="00470421">
        <w:rPr>
          <w:sz w:val="26"/>
          <w:szCs w:val="26"/>
        </w:rPr>
        <w:t>s</w:t>
      </w:r>
      <w:r w:rsidR="007C4971">
        <w:rPr>
          <w:sz w:val="26"/>
          <w:szCs w:val="26"/>
        </w:rPr>
        <w:t xml:space="preserve"> on</w:t>
      </w:r>
      <w:r w:rsidR="00E0291C">
        <w:rPr>
          <w:sz w:val="26"/>
          <w:szCs w:val="26"/>
        </w:rPr>
        <w:t xml:space="preserve"> low-income and other</w:t>
      </w:r>
      <w:r w:rsidR="007C4971">
        <w:rPr>
          <w:sz w:val="26"/>
          <w:szCs w:val="26"/>
        </w:rPr>
        <w:t xml:space="preserve"> </w:t>
      </w:r>
      <w:r w:rsidR="00E0291C">
        <w:rPr>
          <w:sz w:val="26"/>
          <w:szCs w:val="26"/>
        </w:rPr>
        <w:t>“</w:t>
      </w:r>
      <w:r w:rsidR="007C4971">
        <w:rPr>
          <w:sz w:val="26"/>
          <w:szCs w:val="26"/>
        </w:rPr>
        <w:t>vulnerable</w:t>
      </w:r>
      <w:r w:rsidR="00E0291C">
        <w:rPr>
          <w:sz w:val="26"/>
          <w:szCs w:val="26"/>
        </w:rPr>
        <w:t xml:space="preserve">” customers.  Nevertheless, </w:t>
      </w:r>
      <w:r w:rsidR="007C4971">
        <w:rPr>
          <w:sz w:val="26"/>
          <w:szCs w:val="26"/>
        </w:rPr>
        <w:t xml:space="preserve">we </w:t>
      </w:r>
      <w:r w:rsidR="00E0291C">
        <w:rPr>
          <w:sz w:val="26"/>
          <w:szCs w:val="26"/>
        </w:rPr>
        <w:t xml:space="preserve">believe these </w:t>
      </w:r>
      <w:r w:rsidR="007C4971">
        <w:rPr>
          <w:sz w:val="26"/>
          <w:szCs w:val="26"/>
        </w:rPr>
        <w:t xml:space="preserve">adverse impacts </w:t>
      </w:r>
      <w:r w:rsidR="00E0291C">
        <w:rPr>
          <w:sz w:val="26"/>
          <w:szCs w:val="26"/>
        </w:rPr>
        <w:t>sh</w:t>
      </w:r>
      <w:r w:rsidR="004716B3">
        <w:rPr>
          <w:sz w:val="26"/>
          <w:szCs w:val="26"/>
        </w:rPr>
        <w:t xml:space="preserve">ould be </w:t>
      </w:r>
      <w:r w:rsidR="00D70775">
        <w:rPr>
          <w:sz w:val="26"/>
          <w:szCs w:val="26"/>
        </w:rPr>
        <w:t>effectively addressed by</w:t>
      </w:r>
      <w:r w:rsidR="004716B3">
        <w:rPr>
          <w:sz w:val="26"/>
          <w:szCs w:val="26"/>
        </w:rPr>
        <w:t xml:space="preserve"> other means</w:t>
      </w:r>
      <w:r w:rsidR="00D70775">
        <w:rPr>
          <w:sz w:val="26"/>
          <w:szCs w:val="26"/>
        </w:rPr>
        <w:t>,</w:t>
      </w:r>
      <w:r w:rsidR="004716B3">
        <w:rPr>
          <w:sz w:val="26"/>
          <w:szCs w:val="26"/>
        </w:rPr>
        <w:t xml:space="preserve"> including but not limited to</w:t>
      </w:r>
      <w:r w:rsidR="006A4921">
        <w:rPr>
          <w:sz w:val="26"/>
          <w:szCs w:val="26"/>
        </w:rPr>
        <w:t xml:space="preserve"> consumer education programs, Customer Assistance Programs, and LIHEAP.</w:t>
      </w:r>
      <w:r w:rsidR="00E0291C">
        <w:rPr>
          <w:sz w:val="26"/>
          <w:szCs w:val="26"/>
        </w:rPr>
        <w:t xml:space="preserve">  </w:t>
      </w:r>
      <w:r w:rsidR="006A4921">
        <w:rPr>
          <w:sz w:val="26"/>
          <w:szCs w:val="26"/>
        </w:rPr>
        <w:t xml:space="preserve"> </w:t>
      </w:r>
      <w:r w:rsidR="00D70775">
        <w:rPr>
          <w:sz w:val="26"/>
          <w:szCs w:val="26"/>
        </w:rPr>
        <w:t xml:space="preserve">  </w:t>
      </w:r>
    </w:p>
    <w:p w:rsidR="004716B3" w:rsidRDefault="004716B3" w:rsidP="004716B3">
      <w:pPr>
        <w:spacing w:line="360" w:lineRule="auto"/>
        <w:ind w:firstLine="1440"/>
        <w:rPr>
          <w:sz w:val="26"/>
          <w:szCs w:val="26"/>
        </w:rPr>
      </w:pPr>
    </w:p>
    <w:p w:rsidR="007D018F" w:rsidRPr="007D018F" w:rsidRDefault="00512F82" w:rsidP="007D018F">
      <w:pPr>
        <w:pStyle w:val="Heading3"/>
      </w:pPr>
      <w:bookmarkStart w:id="57" w:name="_Toc259798218"/>
      <w:bookmarkStart w:id="58" w:name="_Toc263848850"/>
      <w:r>
        <w:t>4.</w:t>
      </w:r>
      <w:r>
        <w:tab/>
        <w:t>Sub-Hourly M</w:t>
      </w:r>
      <w:r w:rsidR="007D018F">
        <w:t>etering</w:t>
      </w:r>
      <w:bookmarkEnd w:id="57"/>
      <w:bookmarkEnd w:id="58"/>
    </w:p>
    <w:p w:rsidR="007D018F" w:rsidRPr="007D018F" w:rsidRDefault="007D018F" w:rsidP="007D018F">
      <w:pPr>
        <w:spacing w:line="360" w:lineRule="auto"/>
        <w:rPr>
          <w:sz w:val="26"/>
          <w:szCs w:val="26"/>
        </w:rPr>
      </w:pPr>
    </w:p>
    <w:p w:rsidR="007D018F" w:rsidRPr="007D018F" w:rsidRDefault="007D018F" w:rsidP="007D018F">
      <w:pPr>
        <w:spacing w:line="360" w:lineRule="auto"/>
        <w:ind w:firstLine="1440"/>
        <w:rPr>
          <w:color w:val="000000"/>
          <w:sz w:val="26"/>
          <w:szCs w:val="26"/>
        </w:rPr>
      </w:pPr>
      <w:r w:rsidRPr="007D018F">
        <w:rPr>
          <w:color w:val="000000"/>
          <w:sz w:val="26"/>
          <w:szCs w:val="26"/>
        </w:rPr>
        <w:t xml:space="preserve">The </w:t>
      </w:r>
      <w:r w:rsidRPr="00DD126B">
        <w:rPr>
          <w:i/>
          <w:color w:val="000000"/>
          <w:sz w:val="26"/>
          <w:szCs w:val="26"/>
        </w:rPr>
        <w:t>Implementation Order</w:t>
      </w:r>
      <w:r w:rsidRPr="007D018F">
        <w:rPr>
          <w:color w:val="000000"/>
          <w:sz w:val="26"/>
          <w:szCs w:val="26"/>
        </w:rPr>
        <w:t xml:space="preserve"> requires parties to address the ability to provide hourly </w:t>
      </w:r>
      <w:r w:rsidRPr="00816D81">
        <w:rPr>
          <w:i/>
          <w:color w:val="000000"/>
          <w:sz w:val="26"/>
          <w:szCs w:val="26"/>
        </w:rPr>
        <w:t>or more frequent</w:t>
      </w:r>
      <w:r w:rsidRPr="007D018F">
        <w:rPr>
          <w:color w:val="000000"/>
          <w:sz w:val="26"/>
          <w:szCs w:val="26"/>
        </w:rPr>
        <w:t xml:space="preserve"> energy usage data.  </w:t>
      </w:r>
      <w:r w:rsidR="00DD126B" w:rsidRPr="00DD126B">
        <w:rPr>
          <w:i/>
          <w:color w:val="000000"/>
          <w:sz w:val="26"/>
          <w:szCs w:val="26"/>
        </w:rPr>
        <w:t>Implementation Order</w:t>
      </w:r>
      <w:r w:rsidR="00DD126B">
        <w:rPr>
          <w:color w:val="000000"/>
          <w:sz w:val="26"/>
          <w:szCs w:val="26"/>
        </w:rPr>
        <w:t xml:space="preserve"> at 16.  </w:t>
      </w:r>
      <w:r w:rsidRPr="007D018F">
        <w:rPr>
          <w:color w:val="000000"/>
          <w:sz w:val="26"/>
          <w:szCs w:val="26"/>
        </w:rPr>
        <w:t>In this proceedin</w:t>
      </w:r>
      <w:r w:rsidR="00E30121">
        <w:rPr>
          <w:color w:val="000000"/>
          <w:sz w:val="26"/>
          <w:szCs w:val="26"/>
        </w:rPr>
        <w:t>g, the P</w:t>
      </w:r>
      <w:r w:rsidR="008E4F4F">
        <w:rPr>
          <w:color w:val="000000"/>
          <w:sz w:val="26"/>
          <w:szCs w:val="26"/>
        </w:rPr>
        <w:t>arties only addressed fifteen</w:t>
      </w:r>
      <w:r w:rsidRPr="007D018F">
        <w:rPr>
          <w:color w:val="000000"/>
          <w:sz w:val="26"/>
          <w:szCs w:val="26"/>
        </w:rPr>
        <w:t>-minute sub-hourly metering.  While energy markets only require information on hourly usage, these requirements may not be responsive to the</w:t>
      </w:r>
      <w:r w:rsidR="00DD126B">
        <w:rPr>
          <w:color w:val="000000"/>
          <w:sz w:val="26"/>
          <w:szCs w:val="26"/>
        </w:rPr>
        <w:t xml:space="preserve"> regional transmission organization </w:t>
      </w:r>
      <w:r w:rsidRPr="007D018F">
        <w:rPr>
          <w:color w:val="000000"/>
          <w:sz w:val="26"/>
          <w:szCs w:val="26"/>
        </w:rPr>
        <w:t xml:space="preserve">requirements of </w:t>
      </w:r>
      <w:r w:rsidRPr="00816D81">
        <w:rPr>
          <w:i/>
          <w:color w:val="000000"/>
          <w:sz w:val="26"/>
          <w:szCs w:val="26"/>
        </w:rPr>
        <w:t>ancillary</w:t>
      </w:r>
      <w:r w:rsidR="00634A68">
        <w:rPr>
          <w:color w:val="000000"/>
          <w:sz w:val="26"/>
          <w:szCs w:val="26"/>
        </w:rPr>
        <w:t xml:space="preserve"> services.  Therefore, the P</w:t>
      </w:r>
      <w:r w:rsidRPr="007D018F">
        <w:rPr>
          <w:color w:val="000000"/>
          <w:sz w:val="26"/>
          <w:szCs w:val="26"/>
        </w:rPr>
        <w:t>arties are asked to address the need, ability, and cost</w:t>
      </w:r>
      <w:r w:rsidR="00DD126B">
        <w:rPr>
          <w:color w:val="000000"/>
          <w:sz w:val="26"/>
          <w:szCs w:val="26"/>
        </w:rPr>
        <w:t xml:space="preserve"> for sub-hourly </w:t>
      </w:r>
      <w:r w:rsidR="00DD126B">
        <w:rPr>
          <w:color w:val="000000"/>
          <w:sz w:val="26"/>
          <w:szCs w:val="26"/>
        </w:rPr>
        <w:lastRenderedPageBreak/>
        <w:t>metering.  The P</w:t>
      </w:r>
      <w:r w:rsidRPr="007D018F">
        <w:rPr>
          <w:color w:val="000000"/>
          <w:sz w:val="26"/>
          <w:szCs w:val="26"/>
        </w:rPr>
        <w:t xml:space="preserve">arties should address the following issues for residential, small </w:t>
      </w:r>
      <w:r w:rsidR="00DD126B">
        <w:rPr>
          <w:color w:val="000000"/>
          <w:sz w:val="26"/>
          <w:szCs w:val="26"/>
        </w:rPr>
        <w:t xml:space="preserve">commercial and industrial </w:t>
      </w:r>
      <w:r w:rsidRPr="007D018F">
        <w:rPr>
          <w:color w:val="000000"/>
          <w:sz w:val="26"/>
          <w:szCs w:val="26"/>
        </w:rPr>
        <w:t xml:space="preserve">and large </w:t>
      </w:r>
      <w:r w:rsidR="00DD126B">
        <w:rPr>
          <w:color w:val="000000"/>
          <w:sz w:val="26"/>
          <w:szCs w:val="26"/>
        </w:rPr>
        <w:t xml:space="preserve">commercial and industrial </w:t>
      </w:r>
      <w:r w:rsidRPr="007D018F">
        <w:rPr>
          <w:color w:val="000000"/>
          <w:sz w:val="26"/>
          <w:szCs w:val="26"/>
        </w:rPr>
        <w:t>customers:</w:t>
      </w:r>
    </w:p>
    <w:p w:rsidR="007D018F" w:rsidRPr="007D018F" w:rsidRDefault="007D018F" w:rsidP="007D018F">
      <w:pPr>
        <w:spacing w:line="360" w:lineRule="auto"/>
        <w:rPr>
          <w:color w:val="000000"/>
          <w:sz w:val="26"/>
          <w:szCs w:val="26"/>
        </w:rPr>
      </w:pPr>
    </w:p>
    <w:p w:rsidR="007D018F" w:rsidRPr="007D018F" w:rsidRDefault="00DD126B" w:rsidP="00DD126B">
      <w:pPr>
        <w:numPr>
          <w:ilvl w:val="0"/>
          <w:numId w:val="25"/>
        </w:numPr>
        <w:ind w:left="1440" w:right="1440" w:hanging="720"/>
        <w:rPr>
          <w:sz w:val="26"/>
          <w:szCs w:val="26"/>
        </w:rPr>
      </w:pPr>
      <w:r>
        <w:rPr>
          <w:sz w:val="26"/>
          <w:szCs w:val="26"/>
        </w:rPr>
        <w:t>What are the capabilities</w:t>
      </w:r>
      <w:r w:rsidR="007D018F" w:rsidRPr="007D018F">
        <w:rPr>
          <w:sz w:val="26"/>
          <w:szCs w:val="26"/>
        </w:rPr>
        <w:t xml:space="preserve"> and limitations of proposed smart meters to measure and record sub-hourly usage?</w:t>
      </w:r>
    </w:p>
    <w:p w:rsidR="007D018F" w:rsidRPr="007D018F" w:rsidRDefault="00DD126B" w:rsidP="00DD126B">
      <w:pPr>
        <w:numPr>
          <w:ilvl w:val="0"/>
          <w:numId w:val="25"/>
        </w:numPr>
        <w:ind w:left="1440" w:right="1440" w:hanging="720"/>
        <w:rPr>
          <w:sz w:val="26"/>
          <w:szCs w:val="26"/>
        </w:rPr>
      </w:pPr>
      <w:r>
        <w:rPr>
          <w:sz w:val="26"/>
          <w:szCs w:val="26"/>
        </w:rPr>
        <w:t>What are the capabilities</w:t>
      </w:r>
      <w:r w:rsidR="007D018F" w:rsidRPr="007D018F">
        <w:rPr>
          <w:sz w:val="26"/>
          <w:szCs w:val="26"/>
        </w:rPr>
        <w:t xml:space="preserve"> and limitations of proposed smart meter communication and data storag</w:t>
      </w:r>
      <w:r>
        <w:rPr>
          <w:sz w:val="26"/>
          <w:szCs w:val="26"/>
        </w:rPr>
        <w:t>e systems to transmit and stor</w:t>
      </w:r>
      <w:r w:rsidR="007D018F" w:rsidRPr="007D018F">
        <w:rPr>
          <w:sz w:val="26"/>
          <w:szCs w:val="26"/>
        </w:rPr>
        <w:t>e sub-hourly usage information?</w:t>
      </w:r>
    </w:p>
    <w:p w:rsidR="007D018F" w:rsidRPr="007D018F" w:rsidRDefault="007D018F" w:rsidP="00DD126B">
      <w:pPr>
        <w:numPr>
          <w:ilvl w:val="0"/>
          <w:numId w:val="25"/>
        </w:numPr>
        <w:ind w:left="1440" w:right="1440" w:hanging="720"/>
        <w:rPr>
          <w:sz w:val="26"/>
          <w:szCs w:val="26"/>
        </w:rPr>
      </w:pPr>
      <w:r w:rsidRPr="007D018F">
        <w:rPr>
          <w:sz w:val="26"/>
          <w:szCs w:val="26"/>
        </w:rPr>
        <w:t>What are the sub-hourly PJM requirements for participation in ancillary service markets?</w:t>
      </w:r>
    </w:p>
    <w:p w:rsidR="007D018F" w:rsidRPr="007D018F" w:rsidRDefault="007D018F" w:rsidP="00DD126B">
      <w:pPr>
        <w:numPr>
          <w:ilvl w:val="0"/>
          <w:numId w:val="25"/>
        </w:numPr>
        <w:ind w:left="1440" w:right="1440" w:hanging="720"/>
        <w:rPr>
          <w:sz w:val="26"/>
          <w:szCs w:val="26"/>
        </w:rPr>
      </w:pPr>
      <w:r w:rsidRPr="007D018F">
        <w:rPr>
          <w:sz w:val="26"/>
          <w:szCs w:val="26"/>
        </w:rPr>
        <w:t>What are the Compan</w:t>
      </w:r>
      <w:r w:rsidR="00DD126B">
        <w:rPr>
          <w:sz w:val="26"/>
          <w:szCs w:val="26"/>
        </w:rPr>
        <w:t>ies’</w:t>
      </w:r>
      <w:r w:rsidRPr="007D018F">
        <w:rPr>
          <w:sz w:val="26"/>
          <w:szCs w:val="26"/>
        </w:rPr>
        <w:t xml:space="preserve"> incremental smart meter, communication, data storage, and data sharing costs associated with these sub-hourly requirements for ancillary services?</w:t>
      </w:r>
    </w:p>
    <w:p w:rsidR="007D018F" w:rsidRPr="007D018F" w:rsidRDefault="007D018F" w:rsidP="00DD126B">
      <w:pPr>
        <w:numPr>
          <w:ilvl w:val="0"/>
          <w:numId w:val="25"/>
        </w:numPr>
        <w:ind w:left="1440" w:right="1440" w:hanging="720"/>
        <w:rPr>
          <w:sz w:val="26"/>
          <w:szCs w:val="26"/>
        </w:rPr>
      </w:pPr>
      <w:r w:rsidRPr="007D018F">
        <w:rPr>
          <w:sz w:val="26"/>
          <w:szCs w:val="26"/>
        </w:rPr>
        <w:t xml:space="preserve">What are the incremental equipment and installation costs of pulse data recorders used to measure sub-hourly meter data?  </w:t>
      </w:r>
    </w:p>
    <w:p w:rsidR="007D018F" w:rsidRPr="007D018F" w:rsidRDefault="007D018F" w:rsidP="00DD126B">
      <w:pPr>
        <w:numPr>
          <w:ilvl w:val="0"/>
          <w:numId w:val="25"/>
        </w:numPr>
        <w:ind w:left="1440" w:right="1440" w:hanging="720"/>
        <w:rPr>
          <w:sz w:val="26"/>
          <w:szCs w:val="26"/>
        </w:rPr>
      </w:pPr>
      <w:r w:rsidRPr="007D018F">
        <w:rPr>
          <w:sz w:val="26"/>
          <w:szCs w:val="26"/>
        </w:rPr>
        <w:t>Is a pulse data recorder attached to the Compan</w:t>
      </w:r>
      <w:r w:rsidR="00DD126B">
        <w:rPr>
          <w:sz w:val="26"/>
          <w:szCs w:val="26"/>
        </w:rPr>
        <w:t>ies’</w:t>
      </w:r>
      <w:r w:rsidRPr="007D018F">
        <w:rPr>
          <w:sz w:val="26"/>
          <w:szCs w:val="26"/>
        </w:rPr>
        <w:t xml:space="preserve"> meter sufficiently accurate for use by PJM in its ancillary markets, or is redundant metering required to meet PJM standards?</w:t>
      </w:r>
    </w:p>
    <w:p w:rsidR="007D018F" w:rsidRPr="007D018F" w:rsidRDefault="007D018F" w:rsidP="00DD126B">
      <w:pPr>
        <w:numPr>
          <w:ilvl w:val="0"/>
          <w:numId w:val="25"/>
        </w:numPr>
        <w:ind w:left="1440" w:right="1440" w:hanging="720"/>
        <w:rPr>
          <w:sz w:val="26"/>
          <w:szCs w:val="26"/>
        </w:rPr>
      </w:pPr>
      <w:r w:rsidRPr="007D018F">
        <w:rPr>
          <w:sz w:val="26"/>
          <w:szCs w:val="26"/>
        </w:rPr>
        <w:t xml:space="preserve">What are the additional customer costs associated with (1) transferring pulse meter information from the meter to inside the customer’s premise, (2) processing this data into usable format, (3) communicating the data to a </w:t>
      </w:r>
      <w:r w:rsidR="00CF15C8">
        <w:rPr>
          <w:sz w:val="26"/>
          <w:szCs w:val="26"/>
        </w:rPr>
        <w:t xml:space="preserve">third </w:t>
      </w:r>
      <w:r w:rsidRPr="007D018F">
        <w:rPr>
          <w:sz w:val="26"/>
          <w:szCs w:val="26"/>
        </w:rPr>
        <w:t>party or PJM?</w:t>
      </w:r>
    </w:p>
    <w:p w:rsidR="007D018F" w:rsidRPr="007D018F" w:rsidRDefault="007D018F" w:rsidP="00DD126B">
      <w:pPr>
        <w:numPr>
          <w:ilvl w:val="0"/>
          <w:numId w:val="25"/>
        </w:numPr>
        <w:ind w:left="1440" w:right="1440" w:hanging="720"/>
        <w:rPr>
          <w:sz w:val="26"/>
          <w:szCs w:val="26"/>
        </w:rPr>
      </w:pPr>
      <w:r w:rsidRPr="007D018F">
        <w:rPr>
          <w:sz w:val="26"/>
          <w:szCs w:val="26"/>
        </w:rPr>
        <w:t>To the extent a customer requests sub-hourly data, what, if any</w:t>
      </w:r>
      <w:r w:rsidR="006801FC">
        <w:rPr>
          <w:sz w:val="26"/>
          <w:szCs w:val="26"/>
        </w:rPr>
        <w:t>,</w:t>
      </w:r>
      <w:r w:rsidRPr="007D018F">
        <w:rPr>
          <w:sz w:val="26"/>
          <w:szCs w:val="26"/>
        </w:rPr>
        <w:t xml:space="preserve"> cost recovery charge is appropriate.  For example, would it be appropriate to have a customer charge that varies with the level of sub-hourly metering requested, and, if so, what would those sub-hourly metering charges be?</w:t>
      </w:r>
    </w:p>
    <w:p w:rsidR="007D018F" w:rsidRPr="007D018F" w:rsidRDefault="007D018F" w:rsidP="007D018F">
      <w:pPr>
        <w:spacing w:line="360" w:lineRule="auto"/>
        <w:rPr>
          <w:sz w:val="26"/>
          <w:szCs w:val="26"/>
        </w:rPr>
      </w:pPr>
    </w:p>
    <w:p w:rsidR="007D018F" w:rsidRPr="007D018F" w:rsidRDefault="008E7252" w:rsidP="00CF15C8">
      <w:pPr>
        <w:spacing w:line="360" w:lineRule="auto"/>
        <w:ind w:firstLine="1440"/>
        <w:rPr>
          <w:sz w:val="26"/>
          <w:szCs w:val="26"/>
        </w:rPr>
      </w:pPr>
      <w:r>
        <w:rPr>
          <w:sz w:val="26"/>
          <w:szCs w:val="26"/>
        </w:rPr>
        <w:t>We direct t</w:t>
      </w:r>
      <w:r w:rsidR="007D018F" w:rsidRPr="007D018F">
        <w:rPr>
          <w:sz w:val="26"/>
          <w:szCs w:val="26"/>
        </w:rPr>
        <w:t xml:space="preserve">he Companies </w:t>
      </w:r>
      <w:r>
        <w:rPr>
          <w:sz w:val="26"/>
          <w:szCs w:val="26"/>
        </w:rPr>
        <w:t xml:space="preserve">to </w:t>
      </w:r>
      <w:r w:rsidR="007D018F" w:rsidRPr="007D018F">
        <w:rPr>
          <w:sz w:val="26"/>
          <w:szCs w:val="26"/>
        </w:rPr>
        <w:t xml:space="preserve">study these issues during the Assessment Period.  A </w:t>
      </w:r>
      <w:r w:rsidR="00F95B4E">
        <w:rPr>
          <w:sz w:val="26"/>
          <w:szCs w:val="26"/>
        </w:rPr>
        <w:t xml:space="preserve">stakeholder </w:t>
      </w:r>
      <w:r w:rsidR="007D018F" w:rsidRPr="007D018F">
        <w:rPr>
          <w:sz w:val="26"/>
          <w:szCs w:val="26"/>
        </w:rPr>
        <w:t>collaborative process sh</w:t>
      </w:r>
      <w:r w:rsidR="00DB57EA">
        <w:rPr>
          <w:sz w:val="26"/>
          <w:szCs w:val="26"/>
        </w:rPr>
        <w:t xml:space="preserve">all </w:t>
      </w:r>
      <w:r w:rsidR="007D018F" w:rsidRPr="007D018F">
        <w:rPr>
          <w:sz w:val="26"/>
          <w:szCs w:val="26"/>
        </w:rPr>
        <w:t xml:space="preserve">be used, </w:t>
      </w:r>
      <w:r w:rsidR="00F95B4E">
        <w:rPr>
          <w:sz w:val="26"/>
          <w:szCs w:val="26"/>
        </w:rPr>
        <w:t xml:space="preserve">which should include a broad array of participants (including but not limited to the Parties to this proceeding and EGSs) </w:t>
      </w:r>
      <w:r w:rsidR="007D018F" w:rsidRPr="007D018F">
        <w:rPr>
          <w:sz w:val="26"/>
          <w:szCs w:val="26"/>
        </w:rPr>
        <w:t>and the results sh</w:t>
      </w:r>
      <w:r w:rsidR="00DB57EA">
        <w:rPr>
          <w:sz w:val="26"/>
          <w:szCs w:val="26"/>
        </w:rPr>
        <w:t>all</w:t>
      </w:r>
      <w:r w:rsidR="007D018F" w:rsidRPr="007D018F">
        <w:rPr>
          <w:sz w:val="26"/>
          <w:szCs w:val="26"/>
        </w:rPr>
        <w:t xml:space="preserve"> be included in the </w:t>
      </w:r>
      <w:r w:rsidR="007F3E56">
        <w:rPr>
          <w:sz w:val="26"/>
          <w:szCs w:val="26"/>
        </w:rPr>
        <w:t>Deployment P</w:t>
      </w:r>
      <w:r w:rsidR="007D018F" w:rsidRPr="007D018F">
        <w:rPr>
          <w:sz w:val="26"/>
          <w:szCs w:val="26"/>
        </w:rPr>
        <w:t xml:space="preserve">lan filed with the Commission.  </w:t>
      </w:r>
      <w:r w:rsidR="00634A68">
        <w:rPr>
          <w:sz w:val="26"/>
          <w:szCs w:val="26"/>
        </w:rPr>
        <w:t>The Deployment Plan</w:t>
      </w:r>
      <w:r w:rsidR="007D018F" w:rsidRPr="007D018F">
        <w:rPr>
          <w:sz w:val="26"/>
          <w:szCs w:val="26"/>
        </w:rPr>
        <w:t xml:space="preserve"> sh</w:t>
      </w:r>
      <w:r w:rsidR="00DB57EA">
        <w:rPr>
          <w:sz w:val="26"/>
          <w:szCs w:val="26"/>
        </w:rPr>
        <w:t xml:space="preserve">all </w:t>
      </w:r>
      <w:r w:rsidR="00634A68">
        <w:rPr>
          <w:sz w:val="26"/>
          <w:szCs w:val="26"/>
        </w:rPr>
        <w:t xml:space="preserve">also </w:t>
      </w:r>
      <w:r w:rsidR="007D018F" w:rsidRPr="007D018F">
        <w:rPr>
          <w:sz w:val="26"/>
          <w:szCs w:val="26"/>
        </w:rPr>
        <w:t>provide a thorough cost/benefi</w:t>
      </w:r>
      <w:r w:rsidR="007F3E56">
        <w:rPr>
          <w:sz w:val="26"/>
          <w:szCs w:val="26"/>
        </w:rPr>
        <w:t>t analysis for review by the P</w:t>
      </w:r>
      <w:r w:rsidR="007D018F" w:rsidRPr="007D018F">
        <w:rPr>
          <w:sz w:val="26"/>
          <w:szCs w:val="26"/>
        </w:rPr>
        <w:t>arties</w:t>
      </w:r>
      <w:r w:rsidR="00511C05">
        <w:rPr>
          <w:sz w:val="26"/>
          <w:szCs w:val="26"/>
        </w:rPr>
        <w:t xml:space="preserve"> and the Commission</w:t>
      </w:r>
      <w:r w:rsidR="007D018F" w:rsidRPr="007D018F">
        <w:rPr>
          <w:sz w:val="26"/>
          <w:szCs w:val="26"/>
        </w:rPr>
        <w:t xml:space="preserve">.  </w:t>
      </w:r>
    </w:p>
    <w:p w:rsidR="002F5812" w:rsidRPr="00C94E5F" w:rsidRDefault="002F5812" w:rsidP="002F5812">
      <w:pPr>
        <w:spacing w:line="360" w:lineRule="auto"/>
        <w:ind w:firstLine="1440"/>
        <w:rPr>
          <w:sz w:val="26"/>
          <w:szCs w:val="26"/>
        </w:rPr>
      </w:pPr>
    </w:p>
    <w:p w:rsidR="003B6E03" w:rsidRDefault="003B6E03">
      <w:pPr>
        <w:spacing w:after="200" w:line="276" w:lineRule="auto"/>
        <w:rPr>
          <w:rFonts w:eastAsiaTheme="majorEastAsia" w:cstheme="majorBidi"/>
          <w:b/>
          <w:bCs/>
          <w:sz w:val="26"/>
          <w:szCs w:val="26"/>
        </w:rPr>
      </w:pPr>
      <w:bookmarkStart w:id="59" w:name="_Toc259798219"/>
      <w:r>
        <w:br w:type="page"/>
      </w:r>
    </w:p>
    <w:p w:rsidR="002F5812" w:rsidRPr="005F7DB5" w:rsidRDefault="002F5812" w:rsidP="00A117DD">
      <w:pPr>
        <w:pStyle w:val="Heading2"/>
      </w:pPr>
      <w:bookmarkStart w:id="60" w:name="_Toc263848851"/>
      <w:r w:rsidRPr="005F7DB5">
        <w:lastRenderedPageBreak/>
        <w:t>B.</w:t>
      </w:r>
      <w:r w:rsidRPr="005F7DB5">
        <w:tab/>
        <w:t>Cost Issues</w:t>
      </w:r>
      <w:bookmarkEnd w:id="59"/>
      <w:bookmarkEnd w:id="60"/>
    </w:p>
    <w:p w:rsidR="00A117DD" w:rsidRDefault="00A117DD" w:rsidP="002F5812">
      <w:pPr>
        <w:spacing w:line="360" w:lineRule="auto"/>
        <w:ind w:firstLine="1440"/>
        <w:rPr>
          <w:sz w:val="26"/>
          <w:szCs w:val="26"/>
        </w:rPr>
      </w:pPr>
    </w:p>
    <w:p w:rsidR="008E138D" w:rsidRDefault="0083425C" w:rsidP="002F5812">
      <w:pPr>
        <w:spacing w:line="360" w:lineRule="auto"/>
        <w:ind w:firstLine="1440"/>
        <w:rPr>
          <w:sz w:val="26"/>
          <w:szCs w:val="26"/>
        </w:rPr>
      </w:pPr>
      <w:r>
        <w:rPr>
          <w:sz w:val="26"/>
          <w:szCs w:val="26"/>
        </w:rPr>
        <w:t xml:space="preserve">Absent a cost recovery rider, </w:t>
      </w:r>
      <w:r w:rsidR="00B55DC4">
        <w:rPr>
          <w:sz w:val="26"/>
          <w:szCs w:val="26"/>
        </w:rPr>
        <w:t>FirstEnergy</w:t>
      </w:r>
      <w:r>
        <w:rPr>
          <w:sz w:val="26"/>
          <w:szCs w:val="26"/>
        </w:rPr>
        <w:t xml:space="preserve"> does not have a mechanism available to recover the costs associated with dev</w:t>
      </w:r>
      <w:r w:rsidR="007F2D42">
        <w:rPr>
          <w:sz w:val="26"/>
          <w:szCs w:val="26"/>
        </w:rPr>
        <w:t xml:space="preserve">eloping and implementing </w:t>
      </w:r>
      <w:r w:rsidR="00B55DC4">
        <w:rPr>
          <w:sz w:val="26"/>
          <w:szCs w:val="26"/>
        </w:rPr>
        <w:t>its S</w:t>
      </w:r>
      <w:r w:rsidR="007F2D42">
        <w:rPr>
          <w:sz w:val="26"/>
          <w:szCs w:val="26"/>
        </w:rPr>
        <w:t>mar</w:t>
      </w:r>
      <w:r>
        <w:rPr>
          <w:sz w:val="26"/>
          <w:szCs w:val="26"/>
        </w:rPr>
        <w:t xml:space="preserve">t </w:t>
      </w:r>
      <w:r w:rsidR="00B55DC4">
        <w:rPr>
          <w:sz w:val="26"/>
          <w:szCs w:val="26"/>
        </w:rPr>
        <w:t>M</w:t>
      </w:r>
      <w:r>
        <w:rPr>
          <w:sz w:val="26"/>
          <w:szCs w:val="26"/>
        </w:rPr>
        <w:t xml:space="preserve">eter </w:t>
      </w:r>
      <w:r w:rsidR="00B55DC4">
        <w:rPr>
          <w:sz w:val="26"/>
          <w:szCs w:val="26"/>
        </w:rPr>
        <w:t>P</w:t>
      </w:r>
      <w:r>
        <w:rPr>
          <w:sz w:val="26"/>
          <w:szCs w:val="26"/>
        </w:rPr>
        <w:t xml:space="preserve">lan.  The Companies are proposing to recover all reasonable and prudent costs incurred in connection with the Plan on a full and current basis through a reconcilable adjustment clause under 66 Pa. C.S. § </w:t>
      </w:r>
      <w:r w:rsidR="00F74DA1">
        <w:rPr>
          <w:sz w:val="26"/>
          <w:szCs w:val="26"/>
        </w:rPr>
        <w:t>1307.  Joint Petition at ¶ 29.</w:t>
      </w:r>
      <w:r>
        <w:rPr>
          <w:sz w:val="26"/>
          <w:szCs w:val="26"/>
        </w:rPr>
        <w:t xml:space="preserve"> </w:t>
      </w:r>
    </w:p>
    <w:p w:rsidR="008E138D" w:rsidRDefault="008E138D" w:rsidP="002F5812">
      <w:pPr>
        <w:spacing w:line="360" w:lineRule="auto"/>
        <w:ind w:firstLine="1440"/>
        <w:rPr>
          <w:sz w:val="26"/>
          <w:szCs w:val="26"/>
        </w:rPr>
      </w:pPr>
    </w:p>
    <w:p w:rsidR="0083425C" w:rsidRDefault="008E138D" w:rsidP="002F5812">
      <w:pPr>
        <w:spacing w:line="360" w:lineRule="auto"/>
        <w:ind w:firstLine="1440"/>
        <w:rPr>
          <w:sz w:val="26"/>
          <w:szCs w:val="26"/>
        </w:rPr>
      </w:pPr>
      <w:r>
        <w:rPr>
          <w:sz w:val="26"/>
          <w:szCs w:val="26"/>
        </w:rPr>
        <w:t xml:space="preserve">Although no Party addressed this point, we begin by noting </w:t>
      </w:r>
      <w:r w:rsidR="007F2D42">
        <w:rPr>
          <w:sz w:val="26"/>
          <w:szCs w:val="26"/>
        </w:rPr>
        <w:t>tha</w:t>
      </w:r>
      <w:r>
        <w:rPr>
          <w:sz w:val="26"/>
          <w:szCs w:val="26"/>
        </w:rPr>
        <w:t xml:space="preserve">t all </w:t>
      </w:r>
      <w:r w:rsidR="00E02B9B">
        <w:rPr>
          <w:sz w:val="26"/>
          <w:szCs w:val="26"/>
        </w:rPr>
        <w:t>P</w:t>
      </w:r>
      <w:r>
        <w:rPr>
          <w:sz w:val="26"/>
          <w:szCs w:val="26"/>
        </w:rPr>
        <w:t xml:space="preserve">lan costs, including both expense and capital items (net of tax) and </w:t>
      </w:r>
      <w:r w:rsidR="00E02B9B">
        <w:rPr>
          <w:sz w:val="26"/>
          <w:szCs w:val="26"/>
        </w:rPr>
        <w:t>revenues included in the Companies</w:t>
      </w:r>
      <w:r>
        <w:rPr>
          <w:sz w:val="26"/>
          <w:szCs w:val="26"/>
        </w:rPr>
        <w:t>’ smart meter revenues</w:t>
      </w:r>
      <w:r w:rsidR="00E02B9B">
        <w:rPr>
          <w:sz w:val="26"/>
          <w:szCs w:val="26"/>
        </w:rPr>
        <w:t>,</w:t>
      </w:r>
      <w:r>
        <w:rPr>
          <w:sz w:val="26"/>
          <w:szCs w:val="26"/>
        </w:rPr>
        <w:t xml:space="preserve"> will not be included in the revenue requirement used in future distribution base rate cases and will be subject to Commission review and audit.</w:t>
      </w:r>
      <w:r w:rsidR="0083425C">
        <w:rPr>
          <w:sz w:val="26"/>
          <w:szCs w:val="26"/>
        </w:rPr>
        <w:t xml:space="preserve">  </w:t>
      </w:r>
    </w:p>
    <w:p w:rsidR="0083425C" w:rsidRDefault="0083425C" w:rsidP="002F5812">
      <w:pPr>
        <w:spacing w:line="360" w:lineRule="auto"/>
        <w:ind w:firstLine="1440"/>
        <w:rPr>
          <w:sz w:val="26"/>
          <w:szCs w:val="26"/>
        </w:rPr>
      </w:pPr>
    </w:p>
    <w:p w:rsidR="002F5812" w:rsidRPr="005F7DB5" w:rsidRDefault="002F5812" w:rsidP="00A117DD">
      <w:pPr>
        <w:pStyle w:val="Heading3"/>
      </w:pPr>
      <w:bookmarkStart w:id="61" w:name="_Toc259798220"/>
      <w:bookmarkStart w:id="62" w:name="_Toc263848852"/>
      <w:r w:rsidRPr="005F7DB5">
        <w:t>1.</w:t>
      </w:r>
      <w:r w:rsidRPr="005F7DB5">
        <w:tab/>
      </w:r>
      <w:r w:rsidR="00A117DD">
        <w:t>Cost of Capital</w:t>
      </w:r>
      <w:bookmarkEnd w:id="61"/>
      <w:bookmarkEnd w:id="62"/>
      <w:r w:rsidRPr="005F7DB5">
        <w:t xml:space="preserve"> </w:t>
      </w:r>
    </w:p>
    <w:p w:rsidR="00A117DD" w:rsidRDefault="00A117DD" w:rsidP="002F5812">
      <w:pPr>
        <w:spacing w:line="360" w:lineRule="auto"/>
        <w:ind w:firstLine="1440"/>
        <w:rPr>
          <w:sz w:val="26"/>
          <w:szCs w:val="26"/>
        </w:rPr>
      </w:pPr>
    </w:p>
    <w:p w:rsidR="002F5812" w:rsidRDefault="00A117DD" w:rsidP="00A117DD">
      <w:pPr>
        <w:pStyle w:val="Heading4"/>
      </w:pPr>
      <w:bookmarkStart w:id="63" w:name="_Toc259798221"/>
      <w:bookmarkStart w:id="64" w:name="_Toc263848853"/>
      <w:r>
        <w:t>a</w:t>
      </w:r>
      <w:r w:rsidR="002F5812">
        <w:t>.</w:t>
      </w:r>
      <w:r>
        <w:tab/>
        <w:t>Capital Structure Ratios</w:t>
      </w:r>
      <w:bookmarkEnd w:id="63"/>
      <w:bookmarkEnd w:id="64"/>
    </w:p>
    <w:p w:rsidR="00A117DD" w:rsidRDefault="00A117DD" w:rsidP="002F5812">
      <w:pPr>
        <w:spacing w:line="360" w:lineRule="auto"/>
        <w:ind w:firstLine="1440"/>
        <w:rPr>
          <w:sz w:val="26"/>
          <w:szCs w:val="26"/>
        </w:rPr>
      </w:pPr>
    </w:p>
    <w:p w:rsidR="000A1EA0" w:rsidRDefault="000A1EA0" w:rsidP="002F5812">
      <w:pPr>
        <w:spacing w:line="360" w:lineRule="auto"/>
        <w:ind w:firstLine="1440"/>
        <w:rPr>
          <w:sz w:val="26"/>
          <w:szCs w:val="26"/>
        </w:rPr>
      </w:pPr>
      <w:r>
        <w:rPr>
          <w:sz w:val="26"/>
          <w:szCs w:val="26"/>
        </w:rPr>
        <w:t xml:space="preserve">The rate of return is calculated by determining the proportions of capital and the cost rate for each type of capital.  To calculate the rate of return, therefore, it is necessary to determine the capital structure, which is the proportion of long-term debt, preferred stock and common equity.  </w:t>
      </w:r>
    </w:p>
    <w:p w:rsidR="000A1EA0" w:rsidRDefault="000A1EA0" w:rsidP="002F5812">
      <w:pPr>
        <w:spacing w:line="360" w:lineRule="auto"/>
        <w:ind w:firstLine="1440"/>
        <w:rPr>
          <w:sz w:val="26"/>
          <w:szCs w:val="26"/>
        </w:rPr>
      </w:pPr>
    </w:p>
    <w:p w:rsidR="00EB3313" w:rsidRDefault="00EB3313" w:rsidP="00EB3313">
      <w:pPr>
        <w:pStyle w:val="Heading5"/>
      </w:pPr>
      <w:bookmarkStart w:id="65" w:name="_Toc263848854"/>
      <w:r>
        <w:t>1.</w:t>
      </w:r>
      <w:r>
        <w:tab/>
      </w:r>
      <w:r w:rsidR="00B55DC4">
        <w:t>FirstEnergy</w:t>
      </w:r>
      <w:r>
        <w:t>’s Plan</w:t>
      </w:r>
      <w:bookmarkEnd w:id="65"/>
    </w:p>
    <w:p w:rsidR="00EB3313" w:rsidRDefault="00EB3313" w:rsidP="00EB3313">
      <w:pPr>
        <w:spacing w:line="360" w:lineRule="auto"/>
        <w:ind w:firstLine="2160"/>
        <w:rPr>
          <w:sz w:val="26"/>
          <w:szCs w:val="26"/>
        </w:rPr>
      </w:pPr>
    </w:p>
    <w:p w:rsidR="002E5E4E" w:rsidRDefault="000D721A" w:rsidP="000D721A">
      <w:pPr>
        <w:spacing w:line="360" w:lineRule="auto"/>
        <w:ind w:firstLine="1440"/>
        <w:rPr>
          <w:sz w:val="26"/>
          <w:szCs w:val="26"/>
        </w:rPr>
      </w:pPr>
      <w:r>
        <w:rPr>
          <w:sz w:val="26"/>
          <w:szCs w:val="26"/>
        </w:rPr>
        <w:t>As stated in the Plan:</w:t>
      </w:r>
    </w:p>
    <w:p w:rsidR="000D721A" w:rsidRDefault="000D721A" w:rsidP="000D721A">
      <w:pPr>
        <w:ind w:firstLine="1440"/>
        <w:rPr>
          <w:sz w:val="26"/>
          <w:szCs w:val="26"/>
        </w:rPr>
      </w:pPr>
    </w:p>
    <w:p w:rsidR="000D721A" w:rsidRDefault="00F61F3D" w:rsidP="000D721A">
      <w:pPr>
        <w:ind w:left="1440" w:right="1440" w:firstLine="1440"/>
        <w:rPr>
          <w:sz w:val="26"/>
          <w:szCs w:val="26"/>
        </w:rPr>
      </w:pPr>
      <w:r>
        <w:rPr>
          <w:sz w:val="26"/>
          <w:szCs w:val="26"/>
        </w:rPr>
        <w:t xml:space="preserve">To recover the capital costs associated with the future deployment of smart meter technologies, the Companies are proposing that the capital structure be based upon Met-Ed’s and Penelec’s </w:t>
      </w:r>
      <w:r w:rsidR="007B0943">
        <w:rPr>
          <w:sz w:val="26"/>
          <w:szCs w:val="26"/>
        </w:rPr>
        <w:t xml:space="preserve">normalized capital structures of </w:t>
      </w:r>
      <w:r w:rsidR="007B0943">
        <w:rPr>
          <w:sz w:val="26"/>
          <w:szCs w:val="26"/>
        </w:rPr>
        <w:lastRenderedPageBreak/>
        <w:t xml:space="preserve">51% long-term debt and 49% common equity as determined in Met-Ed’s and Penelec’s most recent distribution base rate case proceeding by the Commission Order entered January 11, 2007 at Docket Nos. R-0061366 (Met-Ed) and </w:t>
      </w:r>
      <w:r w:rsidR="00AC43CA">
        <w:rPr>
          <w:sz w:val="26"/>
          <w:szCs w:val="26"/>
        </w:rPr>
        <w:br/>
      </w:r>
      <w:r w:rsidR="007B0943">
        <w:rPr>
          <w:sz w:val="26"/>
          <w:szCs w:val="26"/>
        </w:rPr>
        <w:t xml:space="preserve">R-00061367 (Penelec).  These capital ratios are also proposed to be applicable to Penn Power. </w:t>
      </w:r>
    </w:p>
    <w:p w:rsidR="002E5E4E" w:rsidRDefault="002E5E4E" w:rsidP="00EB3313">
      <w:pPr>
        <w:spacing w:line="360" w:lineRule="auto"/>
        <w:ind w:firstLine="2160"/>
        <w:rPr>
          <w:sz w:val="26"/>
          <w:szCs w:val="26"/>
        </w:rPr>
      </w:pPr>
    </w:p>
    <w:p w:rsidR="007B0943" w:rsidRDefault="007B0943" w:rsidP="007B0943">
      <w:pPr>
        <w:spacing w:line="360" w:lineRule="auto"/>
        <w:rPr>
          <w:sz w:val="26"/>
          <w:szCs w:val="26"/>
        </w:rPr>
      </w:pPr>
      <w:r>
        <w:rPr>
          <w:sz w:val="26"/>
          <w:szCs w:val="26"/>
        </w:rPr>
        <w:t>Plan at 22.</w:t>
      </w:r>
      <w:r w:rsidR="00BA2F56">
        <w:rPr>
          <w:sz w:val="26"/>
          <w:szCs w:val="26"/>
        </w:rPr>
        <w:t xml:space="preserve">  The capital structure of 51% long term debt and 49% common</w:t>
      </w:r>
      <w:r w:rsidR="00AC43CA">
        <w:rPr>
          <w:sz w:val="26"/>
          <w:szCs w:val="26"/>
        </w:rPr>
        <w:t xml:space="preserve"> equity would be used until </w:t>
      </w:r>
      <w:r w:rsidR="00BA2F56">
        <w:rPr>
          <w:sz w:val="26"/>
          <w:szCs w:val="26"/>
        </w:rPr>
        <w:t xml:space="preserve">an updated capital structure finding is made in a </w:t>
      </w:r>
      <w:r w:rsidR="00B55DC4">
        <w:rPr>
          <w:sz w:val="26"/>
          <w:szCs w:val="26"/>
        </w:rPr>
        <w:t>Met-Ed</w:t>
      </w:r>
      <w:r w:rsidR="00BA2F56">
        <w:rPr>
          <w:sz w:val="26"/>
          <w:szCs w:val="26"/>
        </w:rPr>
        <w:t xml:space="preserve">, Penelec or Penn Power base rate proceeding.  </w:t>
      </w:r>
      <w:r w:rsidR="00B55DC4">
        <w:rPr>
          <w:sz w:val="26"/>
          <w:szCs w:val="26"/>
        </w:rPr>
        <w:t>FirstEnergy</w:t>
      </w:r>
      <w:r w:rsidR="00BA2F56">
        <w:rPr>
          <w:sz w:val="26"/>
          <w:szCs w:val="26"/>
        </w:rPr>
        <w:t xml:space="preserve"> MB at 10. </w:t>
      </w:r>
    </w:p>
    <w:p w:rsidR="007B0943" w:rsidRDefault="007B0943" w:rsidP="007B0943">
      <w:pPr>
        <w:spacing w:line="360" w:lineRule="auto"/>
        <w:rPr>
          <w:sz w:val="26"/>
          <w:szCs w:val="26"/>
        </w:rPr>
      </w:pPr>
    </w:p>
    <w:p w:rsidR="007B0943" w:rsidRDefault="00E943E3" w:rsidP="007B0943">
      <w:pPr>
        <w:spacing w:line="360" w:lineRule="auto"/>
        <w:ind w:firstLine="1440"/>
        <w:rPr>
          <w:sz w:val="26"/>
          <w:szCs w:val="26"/>
        </w:rPr>
      </w:pPr>
      <w:r>
        <w:rPr>
          <w:sz w:val="26"/>
          <w:szCs w:val="26"/>
        </w:rPr>
        <w:t xml:space="preserve">The OTS argued that the Commission should not use a company-specific capital structure.  Instead, </w:t>
      </w:r>
      <w:r w:rsidR="000F07E5">
        <w:rPr>
          <w:sz w:val="26"/>
          <w:szCs w:val="26"/>
        </w:rPr>
        <w:t xml:space="preserve">the </w:t>
      </w:r>
      <w:r>
        <w:rPr>
          <w:sz w:val="26"/>
          <w:szCs w:val="26"/>
        </w:rPr>
        <w:t xml:space="preserve">OTS argued that the Commission should use a representative capital structure for all EDCs </w:t>
      </w:r>
      <w:r w:rsidR="0079045D">
        <w:rPr>
          <w:sz w:val="26"/>
          <w:szCs w:val="26"/>
        </w:rPr>
        <w:t xml:space="preserve">that are required to file a smart meter plan with the Commission.  This representative capital structure would be </w:t>
      </w:r>
      <w:r>
        <w:rPr>
          <w:sz w:val="26"/>
          <w:szCs w:val="26"/>
        </w:rPr>
        <w:t xml:space="preserve">based on </w:t>
      </w:r>
      <w:r w:rsidR="000A1EA0">
        <w:rPr>
          <w:sz w:val="26"/>
          <w:szCs w:val="26"/>
        </w:rPr>
        <w:t xml:space="preserve">a Commission-established barometer group </w:t>
      </w:r>
      <w:r w:rsidR="008A5D96">
        <w:rPr>
          <w:sz w:val="26"/>
          <w:szCs w:val="26"/>
        </w:rPr>
        <w:t xml:space="preserve">included in the Bureau of Fixed Utility Services’ </w:t>
      </w:r>
      <w:r w:rsidR="0079045D">
        <w:rPr>
          <w:sz w:val="26"/>
          <w:szCs w:val="26"/>
        </w:rPr>
        <w:t>Quarterly Earnings Report.</w:t>
      </w:r>
      <w:r w:rsidR="00AB0CE0">
        <w:rPr>
          <w:sz w:val="26"/>
          <w:szCs w:val="26"/>
        </w:rPr>
        <w:t xml:space="preserve">  OTS MB at 14.</w:t>
      </w:r>
      <w:r w:rsidR="0079045D">
        <w:rPr>
          <w:sz w:val="26"/>
          <w:szCs w:val="26"/>
        </w:rPr>
        <w:t xml:space="preserve">  </w:t>
      </w:r>
    </w:p>
    <w:p w:rsidR="002E5E4E" w:rsidRDefault="002E5E4E" w:rsidP="00EB3313">
      <w:pPr>
        <w:spacing w:line="360" w:lineRule="auto"/>
        <w:ind w:firstLine="2160"/>
        <w:rPr>
          <w:sz w:val="26"/>
          <w:szCs w:val="26"/>
        </w:rPr>
      </w:pPr>
    </w:p>
    <w:p w:rsidR="00EB3313" w:rsidRDefault="00EB3313" w:rsidP="00EB3313">
      <w:pPr>
        <w:pStyle w:val="Heading5"/>
      </w:pPr>
      <w:bookmarkStart w:id="66" w:name="_Toc263848855"/>
      <w:r>
        <w:t>2.</w:t>
      </w:r>
      <w:r>
        <w:tab/>
        <w:t>ALJ’s Recommendation</w:t>
      </w:r>
      <w:bookmarkEnd w:id="66"/>
    </w:p>
    <w:p w:rsidR="00EB3313" w:rsidRDefault="00EB3313" w:rsidP="00EB3313">
      <w:pPr>
        <w:spacing w:line="360" w:lineRule="auto"/>
        <w:ind w:firstLine="2160"/>
        <w:rPr>
          <w:sz w:val="26"/>
          <w:szCs w:val="26"/>
        </w:rPr>
      </w:pPr>
    </w:p>
    <w:p w:rsidR="00672B72" w:rsidRDefault="000F07E5" w:rsidP="00AB0CE0">
      <w:pPr>
        <w:spacing w:line="360" w:lineRule="auto"/>
        <w:ind w:firstLine="1440"/>
        <w:rPr>
          <w:sz w:val="26"/>
          <w:szCs w:val="26"/>
        </w:rPr>
      </w:pPr>
      <w:r>
        <w:rPr>
          <w:sz w:val="26"/>
          <w:szCs w:val="26"/>
        </w:rPr>
        <w:t xml:space="preserve">The ALJ </w:t>
      </w:r>
      <w:r w:rsidR="00342188">
        <w:rPr>
          <w:sz w:val="26"/>
          <w:szCs w:val="26"/>
        </w:rPr>
        <w:t xml:space="preserve">found that </w:t>
      </w:r>
      <w:r w:rsidR="00341159">
        <w:rPr>
          <w:sz w:val="26"/>
          <w:szCs w:val="26"/>
        </w:rPr>
        <w:t>the weighted cost of capital is meant to be EDC-specific.  As a result, she rejected the OTS’</w:t>
      </w:r>
      <w:r w:rsidR="00066031">
        <w:rPr>
          <w:sz w:val="26"/>
          <w:szCs w:val="26"/>
        </w:rPr>
        <w:t>s</w:t>
      </w:r>
      <w:r w:rsidR="00341159">
        <w:rPr>
          <w:sz w:val="26"/>
          <w:szCs w:val="26"/>
        </w:rPr>
        <w:t xml:space="preserve"> proposal to use a representative capital s</w:t>
      </w:r>
      <w:r w:rsidR="00955214">
        <w:rPr>
          <w:sz w:val="26"/>
          <w:szCs w:val="26"/>
        </w:rPr>
        <w:t xml:space="preserve">tructure.  She found that </w:t>
      </w:r>
      <w:r w:rsidR="00341159">
        <w:rPr>
          <w:sz w:val="26"/>
          <w:szCs w:val="26"/>
        </w:rPr>
        <w:t xml:space="preserve">the Companies’ proposal to use the capital structure approved by the Commission in the most recent base rate case of </w:t>
      </w:r>
      <w:r w:rsidR="00B55DC4">
        <w:rPr>
          <w:sz w:val="26"/>
          <w:szCs w:val="26"/>
        </w:rPr>
        <w:t>Met-Ed</w:t>
      </w:r>
      <w:r w:rsidR="00341159">
        <w:rPr>
          <w:sz w:val="26"/>
          <w:szCs w:val="26"/>
        </w:rPr>
        <w:t xml:space="preserve"> and Penelec</w:t>
      </w:r>
      <w:r w:rsidR="00955214">
        <w:rPr>
          <w:sz w:val="26"/>
          <w:szCs w:val="26"/>
        </w:rPr>
        <w:t xml:space="preserve"> is reasonable</w:t>
      </w:r>
      <w:r w:rsidR="00341159">
        <w:rPr>
          <w:sz w:val="26"/>
          <w:szCs w:val="26"/>
        </w:rPr>
        <w:t>.  I.D. at 33-36.</w:t>
      </w:r>
    </w:p>
    <w:p w:rsidR="00AB0CE0" w:rsidRDefault="000F07E5" w:rsidP="00AB0CE0">
      <w:pPr>
        <w:spacing w:line="360" w:lineRule="auto"/>
        <w:ind w:firstLine="1440"/>
        <w:rPr>
          <w:sz w:val="26"/>
          <w:szCs w:val="26"/>
        </w:rPr>
      </w:pPr>
      <w:r>
        <w:rPr>
          <w:sz w:val="26"/>
          <w:szCs w:val="26"/>
        </w:rPr>
        <w:t xml:space="preserve"> </w:t>
      </w:r>
    </w:p>
    <w:p w:rsidR="00EB3313" w:rsidRPr="00880CB7" w:rsidRDefault="00EB3313" w:rsidP="00EB3313">
      <w:pPr>
        <w:pStyle w:val="Heading5"/>
        <w:rPr>
          <w:szCs w:val="26"/>
        </w:rPr>
      </w:pPr>
      <w:bookmarkStart w:id="67" w:name="_Toc263848856"/>
      <w:r w:rsidRPr="00880CB7">
        <w:rPr>
          <w:szCs w:val="26"/>
        </w:rPr>
        <w:t>3.</w:t>
      </w:r>
      <w:r w:rsidRPr="00880CB7">
        <w:rPr>
          <w:szCs w:val="26"/>
        </w:rPr>
        <w:tab/>
        <w:t>Positions of the Parties</w:t>
      </w:r>
      <w:bookmarkEnd w:id="67"/>
    </w:p>
    <w:p w:rsidR="00EB3313" w:rsidRPr="00880CB7" w:rsidRDefault="00EB3313" w:rsidP="00F94FC6">
      <w:pPr>
        <w:spacing w:line="360" w:lineRule="auto"/>
        <w:rPr>
          <w:sz w:val="26"/>
          <w:szCs w:val="26"/>
        </w:rPr>
      </w:pPr>
    </w:p>
    <w:p w:rsidR="000C2B21" w:rsidRDefault="00F94FC6" w:rsidP="00F94FC6">
      <w:pPr>
        <w:spacing w:line="360" w:lineRule="auto"/>
        <w:ind w:firstLine="1440"/>
        <w:rPr>
          <w:sz w:val="26"/>
          <w:szCs w:val="26"/>
        </w:rPr>
      </w:pPr>
      <w:r>
        <w:rPr>
          <w:sz w:val="26"/>
          <w:szCs w:val="26"/>
        </w:rPr>
        <w:t>The OTS argues that the ALJ erred by rejecting its proposal for a representative capital structure for all EDCs based on a barometer g</w:t>
      </w:r>
      <w:r w:rsidR="008A5D96">
        <w:rPr>
          <w:sz w:val="26"/>
          <w:szCs w:val="26"/>
        </w:rPr>
        <w:t xml:space="preserve">roup included in the </w:t>
      </w:r>
      <w:r w:rsidR="008A5D96">
        <w:rPr>
          <w:sz w:val="26"/>
          <w:szCs w:val="26"/>
        </w:rPr>
        <w:lastRenderedPageBreak/>
        <w:t>Q</w:t>
      </w:r>
      <w:r>
        <w:rPr>
          <w:sz w:val="26"/>
          <w:szCs w:val="26"/>
        </w:rPr>
        <w:t xml:space="preserve">uarterly </w:t>
      </w:r>
      <w:r w:rsidR="008A5D96">
        <w:rPr>
          <w:sz w:val="26"/>
          <w:szCs w:val="26"/>
        </w:rPr>
        <w:t>E</w:t>
      </w:r>
      <w:r>
        <w:rPr>
          <w:sz w:val="26"/>
          <w:szCs w:val="26"/>
        </w:rPr>
        <w:t xml:space="preserve">arnings </w:t>
      </w:r>
      <w:r w:rsidR="008A5D96">
        <w:rPr>
          <w:sz w:val="26"/>
          <w:szCs w:val="26"/>
        </w:rPr>
        <w:t>R</w:t>
      </w:r>
      <w:r>
        <w:rPr>
          <w:sz w:val="26"/>
          <w:szCs w:val="26"/>
        </w:rPr>
        <w:t xml:space="preserve">eport.  </w:t>
      </w:r>
      <w:r w:rsidR="00267D1D">
        <w:rPr>
          <w:sz w:val="26"/>
          <w:szCs w:val="26"/>
        </w:rPr>
        <w:t xml:space="preserve">OTS Exc. at 13.  </w:t>
      </w:r>
      <w:r w:rsidR="00562F48">
        <w:rPr>
          <w:sz w:val="26"/>
          <w:szCs w:val="26"/>
        </w:rPr>
        <w:t>According to t</w:t>
      </w:r>
      <w:r w:rsidR="006960A0">
        <w:rPr>
          <w:sz w:val="26"/>
          <w:szCs w:val="26"/>
        </w:rPr>
        <w:t>he OTS</w:t>
      </w:r>
      <w:r w:rsidR="00562F48">
        <w:rPr>
          <w:sz w:val="26"/>
          <w:szCs w:val="26"/>
        </w:rPr>
        <w:t xml:space="preserve">, </w:t>
      </w:r>
      <w:r w:rsidR="006960A0">
        <w:rPr>
          <w:sz w:val="26"/>
          <w:szCs w:val="26"/>
        </w:rPr>
        <w:t xml:space="preserve">the </w:t>
      </w:r>
      <w:r w:rsidR="00562F48">
        <w:rPr>
          <w:sz w:val="26"/>
          <w:szCs w:val="26"/>
        </w:rPr>
        <w:t xml:space="preserve">ALJ </w:t>
      </w:r>
      <w:r w:rsidR="006960A0">
        <w:rPr>
          <w:sz w:val="26"/>
          <w:szCs w:val="26"/>
        </w:rPr>
        <w:t xml:space="preserve">correctly </w:t>
      </w:r>
      <w:r w:rsidR="00562F48">
        <w:rPr>
          <w:sz w:val="26"/>
          <w:szCs w:val="26"/>
        </w:rPr>
        <w:t xml:space="preserve">characterized </w:t>
      </w:r>
      <w:r w:rsidR="006960A0">
        <w:rPr>
          <w:sz w:val="26"/>
          <w:szCs w:val="26"/>
        </w:rPr>
        <w:t xml:space="preserve">the arguments </w:t>
      </w:r>
      <w:r w:rsidR="00562F48">
        <w:rPr>
          <w:sz w:val="26"/>
          <w:szCs w:val="26"/>
        </w:rPr>
        <w:t xml:space="preserve">that the OTS </w:t>
      </w:r>
      <w:r w:rsidR="006960A0">
        <w:rPr>
          <w:sz w:val="26"/>
          <w:szCs w:val="26"/>
        </w:rPr>
        <w:t xml:space="preserve">offered in its </w:t>
      </w:r>
      <w:r w:rsidR="00A7404A">
        <w:rPr>
          <w:sz w:val="26"/>
          <w:szCs w:val="26"/>
        </w:rPr>
        <w:t>M</w:t>
      </w:r>
      <w:r w:rsidR="00267D1D">
        <w:rPr>
          <w:sz w:val="26"/>
          <w:szCs w:val="26"/>
        </w:rPr>
        <w:t xml:space="preserve">ain </w:t>
      </w:r>
      <w:r w:rsidR="00A7404A">
        <w:rPr>
          <w:sz w:val="26"/>
          <w:szCs w:val="26"/>
        </w:rPr>
        <w:t>B</w:t>
      </w:r>
      <w:r w:rsidR="006960A0">
        <w:rPr>
          <w:sz w:val="26"/>
          <w:szCs w:val="26"/>
        </w:rPr>
        <w:t>rief</w:t>
      </w:r>
      <w:r w:rsidR="000C2B21">
        <w:rPr>
          <w:sz w:val="26"/>
          <w:szCs w:val="26"/>
        </w:rPr>
        <w:t xml:space="preserve"> by saying:</w:t>
      </w:r>
    </w:p>
    <w:p w:rsidR="000C2B21" w:rsidRDefault="000C2B21" w:rsidP="000C2B21">
      <w:pPr>
        <w:ind w:firstLine="1440"/>
        <w:rPr>
          <w:sz w:val="26"/>
          <w:szCs w:val="26"/>
        </w:rPr>
      </w:pPr>
    </w:p>
    <w:p w:rsidR="000C2B21" w:rsidRDefault="000C2B21" w:rsidP="000C2B21">
      <w:pPr>
        <w:ind w:left="1440" w:right="1440"/>
        <w:rPr>
          <w:sz w:val="26"/>
          <w:szCs w:val="26"/>
        </w:rPr>
      </w:pPr>
      <w:r>
        <w:rPr>
          <w:sz w:val="26"/>
          <w:szCs w:val="26"/>
        </w:rPr>
        <w:t>OTS believes that a representative capital structure is important for two reasons: (1) it will be based on the same barometer group that will be used to determine the appropriate cost rate of common equity, and thus match the financial risk associated with the corresponding cost rate of common equity, and (2) since some electric companies have capital structures that are not representative of the industry norm, using a representative capital structure will not advantage or disadvantage any EDC or its ratepayers.</w:t>
      </w:r>
    </w:p>
    <w:p w:rsidR="000C2B21" w:rsidRDefault="000C2B21" w:rsidP="000C2B21">
      <w:pPr>
        <w:ind w:left="1440" w:right="1440"/>
        <w:rPr>
          <w:sz w:val="26"/>
          <w:szCs w:val="26"/>
        </w:rPr>
      </w:pPr>
    </w:p>
    <w:p w:rsidR="0037211F" w:rsidRDefault="0037211F" w:rsidP="000C2B21">
      <w:pPr>
        <w:ind w:left="1440" w:right="1440"/>
        <w:rPr>
          <w:sz w:val="26"/>
          <w:szCs w:val="26"/>
        </w:rPr>
      </w:pPr>
    </w:p>
    <w:p w:rsidR="00880CB7" w:rsidRDefault="000C2B21" w:rsidP="000C2B21">
      <w:pPr>
        <w:spacing w:line="360" w:lineRule="auto"/>
        <w:rPr>
          <w:sz w:val="26"/>
          <w:szCs w:val="26"/>
        </w:rPr>
      </w:pPr>
      <w:r>
        <w:rPr>
          <w:sz w:val="26"/>
          <w:szCs w:val="26"/>
        </w:rPr>
        <w:t xml:space="preserve">I.D. at 14.  The OTS argues, however, that the ALJ </w:t>
      </w:r>
      <w:r w:rsidR="006960A0">
        <w:rPr>
          <w:sz w:val="26"/>
          <w:szCs w:val="26"/>
        </w:rPr>
        <w:t xml:space="preserve">failed to </w:t>
      </w:r>
      <w:r w:rsidR="00DE1772">
        <w:rPr>
          <w:sz w:val="26"/>
          <w:szCs w:val="26"/>
        </w:rPr>
        <w:t>address</w:t>
      </w:r>
      <w:r w:rsidR="00562F48">
        <w:rPr>
          <w:sz w:val="26"/>
          <w:szCs w:val="26"/>
        </w:rPr>
        <w:t xml:space="preserve"> </w:t>
      </w:r>
      <w:r w:rsidR="006960A0">
        <w:rPr>
          <w:sz w:val="26"/>
          <w:szCs w:val="26"/>
        </w:rPr>
        <w:t xml:space="preserve">the arguments </w:t>
      </w:r>
      <w:r w:rsidR="00562F48">
        <w:rPr>
          <w:sz w:val="26"/>
          <w:szCs w:val="26"/>
        </w:rPr>
        <w:t xml:space="preserve">that the </w:t>
      </w:r>
      <w:r w:rsidR="00A7404A">
        <w:rPr>
          <w:sz w:val="26"/>
          <w:szCs w:val="26"/>
        </w:rPr>
        <w:t>OTS offered in its Reply B</w:t>
      </w:r>
      <w:r w:rsidR="006960A0">
        <w:rPr>
          <w:sz w:val="26"/>
          <w:szCs w:val="26"/>
        </w:rPr>
        <w:t>rief.</w:t>
      </w:r>
      <w:r w:rsidR="00267D1D">
        <w:rPr>
          <w:sz w:val="26"/>
          <w:szCs w:val="26"/>
        </w:rPr>
        <w:t xml:space="preserve">  </w:t>
      </w:r>
      <w:r w:rsidR="00342188">
        <w:rPr>
          <w:sz w:val="26"/>
          <w:szCs w:val="26"/>
        </w:rPr>
        <w:t>These arguments responded to the Companies’ arguments</w:t>
      </w:r>
      <w:r w:rsidR="008A5D96">
        <w:rPr>
          <w:sz w:val="26"/>
          <w:szCs w:val="26"/>
        </w:rPr>
        <w:t xml:space="preserve">, which </w:t>
      </w:r>
      <w:r w:rsidR="00342188">
        <w:rPr>
          <w:sz w:val="26"/>
          <w:szCs w:val="26"/>
        </w:rPr>
        <w:t xml:space="preserve">the ALJ </w:t>
      </w:r>
      <w:r w:rsidR="00E17A59">
        <w:rPr>
          <w:sz w:val="26"/>
          <w:szCs w:val="26"/>
        </w:rPr>
        <w:t xml:space="preserve">apparently </w:t>
      </w:r>
      <w:r w:rsidR="00342188">
        <w:rPr>
          <w:sz w:val="26"/>
          <w:szCs w:val="26"/>
        </w:rPr>
        <w:t xml:space="preserve">found persuasive.   OTS Exc. at 14.  </w:t>
      </w:r>
    </w:p>
    <w:p w:rsidR="006960A0" w:rsidRDefault="006960A0" w:rsidP="00F94FC6">
      <w:pPr>
        <w:spacing w:line="360" w:lineRule="auto"/>
        <w:ind w:firstLine="1440"/>
        <w:rPr>
          <w:sz w:val="26"/>
          <w:szCs w:val="26"/>
        </w:rPr>
      </w:pPr>
    </w:p>
    <w:p w:rsidR="004009C5" w:rsidRDefault="00342188" w:rsidP="00DE37E2">
      <w:pPr>
        <w:spacing w:line="360" w:lineRule="auto"/>
        <w:ind w:firstLine="1440"/>
        <w:rPr>
          <w:sz w:val="26"/>
          <w:szCs w:val="26"/>
        </w:rPr>
      </w:pPr>
      <w:r>
        <w:rPr>
          <w:sz w:val="26"/>
          <w:szCs w:val="26"/>
        </w:rPr>
        <w:t xml:space="preserve">The ALJ </w:t>
      </w:r>
      <w:r w:rsidR="001B02BE">
        <w:rPr>
          <w:sz w:val="26"/>
          <w:szCs w:val="26"/>
        </w:rPr>
        <w:t xml:space="preserve">apparently </w:t>
      </w:r>
      <w:r>
        <w:rPr>
          <w:sz w:val="26"/>
          <w:szCs w:val="26"/>
        </w:rPr>
        <w:t xml:space="preserve">agreed with the Companies that </w:t>
      </w:r>
      <w:r w:rsidR="00DE1772">
        <w:rPr>
          <w:sz w:val="26"/>
          <w:szCs w:val="26"/>
        </w:rPr>
        <w:t xml:space="preserve">the </w:t>
      </w:r>
      <w:r w:rsidR="00DE1772">
        <w:rPr>
          <w:i/>
          <w:sz w:val="26"/>
          <w:szCs w:val="26"/>
        </w:rPr>
        <w:t xml:space="preserve">Implementation Order </w:t>
      </w:r>
      <w:r w:rsidR="001B02BE">
        <w:rPr>
          <w:sz w:val="26"/>
          <w:szCs w:val="26"/>
        </w:rPr>
        <w:t>indicates</w:t>
      </w:r>
      <w:r>
        <w:rPr>
          <w:sz w:val="26"/>
          <w:szCs w:val="26"/>
        </w:rPr>
        <w:t xml:space="preserve"> that </w:t>
      </w:r>
      <w:r w:rsidR="00E83A56">
        <w:rPr>
          <w:sz w:val="26"/>
          <w:szCs w:val="26"/>
        </w:rPr>
        <w:t xml:space="preserve">capital structure is to be company specific.  The </w:t>
      </w:r>
      <w:r w:rsidR="00E83A56">
        <w:rPr>
          <w:i/>
          <w:sz w:val="26"/>
          <w:szCs w:val="26"/>
        </w:rPr>
        <w:t xml:space="preserve">Implementation Order </w:t>
      </w:r>
      <w:r w:rsidR="008A5D96">
        <w:rPr>
          <w:sz w:val="26"/>
          <w:szCs w:val="26"/>
        </w:rPr>
        <w:t>states</w:t>
      </w:r>
      <w:r w:rsidR="000E03BB">
        <w:rPr>
          <w:sz w:val="26"/>
          <w:szCs w:val="26"/>
        </w:rPr>
        <w:t>:</w:t>
      </w:r>
    </w:p>
    <w:p w:rsidR="000E03BB" w:rsidRDefault="000E03BB" w:rsidP="00CC5221">
      <w:pPr>
        <w:ind w:firstLine="1440"/>
        <w:rPr>
          <w:sz w:val="26"/>
          <w:szCs w:val="26"/>
        </w:rPr>
      </w:pPr>
    </w:p>
    <w:p w:rsidR="000E03BB" w:rsidRPr="00920883" w:rsidRDefault="000E03BB" w:rsidP="000E03BB">
      <w:pPr>
        <w:ind w:left="1440" w:right="1440" w:firstLine="720"/>
        <w:rPr>
          <w:sz w:val="26"/>
        </w:rPr>
      </w:pPr>
      <w:r w:rsidRPr="00920883">
        <w:rPr>
          <w:sz w:val="26"/>
        </w:rPr>
        <w:t xml:space="preserve">Act 129 allows an EDC to recover “all reasonable and prudent costs of providing smart meter technology.”  In order to determine what these costs are, each EDC will </w:t>
      </w:r>
      <w:r>
        <w:rPr>
          <w:sz w:val="26"/>
        </w:rPr>
        <w:t xml:space="preserve">document </w:t>
      </w:r>
      <w:r w:rsidRPr="00920883">
        <w:rPr>
          <w:sz w:val="26"/>
        </w:rPr>
        <w:t xml:space="preserve">all costs relating to its smart meter deployment and installation plan.  These costs will include both capital and expense items relating to all plan elements, equipment and facilities, as well as an analysis of all related administrative costs. </w:t>
      </w:r>
      <w:r>
        <w:rPr>
          <w:sz w:val="26"/>
        </w:rPr>
        <w:t xml:space="preserve"> </w:t>
      </w:r>
      <w:r w:rsidRPr="00920883">
        <w:rPr>
          <w:sz w:val="26"/>
        </w:rPr>
        <w:t xml:space="preserve">More specifically, these costs would include, but not be limited to, capital expenditures for any equipment and facilities that may be required to implement the smart meter plan, as well as depreciation, operating and maintenance expenses, </w:t>
      </w:r>
      <w:r w:rsidRPr="00CF4744">
        <w:rPr>
          <w:i/>
          <w:sz w:val="26"/>
        </w:rPr>
        <w:t>a return component based on the EDC’s</w:t>
      </w:r>
      <w:r w:rsidRPr="000E03BB">
        <w:rPr>
          <w:i/>
          <w:sz w:val="26"/>
        </w:rPr>
        <w:t xml:space="preserve"> weighted cost of capital</w:t>
      </w:r>
      <w:r w:rsidRPr="00920883">
        <w:rPr>
          <w:sz w:val="26"/>
        </w:rPr>
        <w:t xml:space="preserve">, and taxes. </w:t>
      </w:r>
      <w:r>
        <w:rPr>
          <w:sz w:val="26"/>
        </w:rPr>
        <w:t xml:space="preserve"> </w:t>
      </w:r>
      <w:r w:rsidRPr="00920883">
        <w:rPr>
          <w:sz w:val="26"/>
        </w:rPr>
        <w:t xml:space="preserve">Administrative costs would include, but not be limited to, </w:t>
      </w:r>
      <w:r>
        <w:rPr>
          <w:sz w:val="26"/>
        </w:rPr>
        <w:t xml:space="preserve">incremental </w:t>
      </w:r>
      <w:r w:rsidRPr="00920883">
        <w:rPr>
          <w:sz w:val="26"/>
        </w:rPr>
        <w:t xml:space="preserve">costs relating to plan development, cost analysis, </w:t>
      </w:r>
      <w:r>
        <w:rPr>
          <w:sz w:val="26"/>
        </w:rPr>
        <w:t xml:space="preserve">measurement and verification, </w:t>
      </w:r>
      <w:r w:rsidRPr="00920883">
        <w:rPr>
          <w:sz w:val="26"/>
        </w:rPr>
        <w:t xml:space="preserve">and reporting.  In addition, the plan should </w:t>
      </w:r>
      <w:r w:rsidRPr="00920883">
        <w:rPr>
          <w:sz w:val="26"/>
        </w:rPr>
        <w:lastRenderedPageBreak/>
        <w:t>include cost estimates for testing, upgrades, maintenance and personnel training.  The EDC must also provide sufficient support to demonstrate that all such costs are reasonable and prudent with respect to its smart meter plan.</w:t>
      </w:r>
      <w:r>
        <w:rPr>
          <w:sz w:val="26"/>
        </w:rPr>
        <w:t xml:space="preserve">  Consistent with Section 315(a), the burden of proof shall be on the EDC.  66 Pa.C.S. § 315(a).</w:t>
      </w:r>
    </w:p>
    <w:p w:rsidR="000E03BB" w:rsidRPr="00E83A56" w:rsidRDefault="000E03BB" w:rsidP="00DE37E2">
      <w:pPr>
        <w:spacing w:line="360" w:lineRule="auto"/>
        <w:ind w:firstLine="1440"/>
        <w:rPr>
          <w:sz w:val="26"/>
          <w:szCs w:val="26"/>
        </w:rPr>
      </w:pPr>
    </w:p>
    <w:p w:rsidR="00F94FC6" w:rsidRPr="000E03BB" w:rsidRDefault="000E03BB" w:rsidP="00F94FC6">
      <w:pPr>
        <w:spacing w:line="360" w:lineRule="auto"/>
        <w:rPr>
          <w:sz w:val="26"/>
          <w:szCs w:val="26"/>
        </w:rPr>
      </w:pPr>
      <w:r>
        <w:rPr>
          <w:i/>
          <w:sz w:val="26"/>
          <w:szCs w:val="26"/>
        </w:rPr>
        <w:t>Implementation Order</w:t>
      </w:r>
      <w:r>
        <w:rPr>
          <w:sz w:val="26"/>
          <w:szCs w:val="26"/>
        </w:rPr>
        <w:t xml:space="preserve"> at 29 (emphasis added).  The OTS contends that the </w:t>
      </w:r>
      <w:r w:rsidR="00A20049">
        <w:rPr>
          <w:sz w:val="26"/>
          <w:szCs w:val="26"/>
        </w:rPr>
        <w:t xml:space="preserve">ALJ gave undue importance to the use of the word “the” in the </w:t>
      </w:r>
      <w:r>
        <w:rPr>
          <w:sz w:val="26"/>
          <w:szCs w:val="26"/>
        </w:rPr>
        <w:t xml:space="preserve">italicized portion of the </w:t>
      </w:r>
      <w:r w:rsidR="004734DC">
        <w:rPr>
          <w:sz w:val="26"/>
          <w:szCs w:val="26"/>
        </w:rPr>
        <w:t xml:space="preserve">above </w:t>
      </w:r>
      <w:r>
        <w:rPr>
          <w:sz w:val="26"/>
          <w:szCs w:val="26"/>
        </w:rPr>
        <w:t>quotation</w:t>
      </w:r>
      <w:r w:rsidR="00A20049">
        <w:rPr>
          <w:sz w:val="26"/>
          <w:szCs w:val="26"/>
        </w:rPr>
        <w:t xml:space="preserve">.  The OTS argues that the </w:t>
      </w:r>
      <w:r w:rsidR="0007290E">
        <w:rPr>
          <w:sz w:val="26"/>
          <w:szCs w:val="26"/>
        </w:rPr>
        <w:t>Commission was simply referring to an EDC in the singular</w:t>
      </w:r>
      <w:r w:rsidR="00A20049">
        <w:rPr>
          <w:sz w:val="26"/>
          <w:szCs w:val="26"/>
        </w:rPr>
        <w:t xml:space="preserve"> and did not intend to </w:t>
      </w:r>
      <w:r w:rsidR="00DB02D1">
        <w:rPr>
          <w:sz w:val="26"/>
          <w:szCs w:val="26"/>
        </w:rPr>
        <w:t>limit the legal interpretation of its Order by using the expression “the</w:t>
      </w:r>
      <w:r w:rsidR="00751F02">
        <w:rPr>
          <w:sz w:val="26"/>
          <w:szCs w:val="26"/>
        </w:rPr>
        <w:t>”</w:t>
      </w:r>
      <w:r w:rsidR="00DB02D1">
        <w:rPr>
          <w:sz w:val="26"/>
          <w:szCs w:val="26"/>
        </w:rPr>
        <w:t xml:space="preserve"> EDC</w:t>
      </w:r>
      <w:r w:rsidR="00F5424D">
        <w:rPr>
          <w:sz w:val="26"/>
          <w:szCs w:val="26"/>
        </w:rPr>
        <w:t>.</w:t>
      </w:r>
      <w:r w:rsidR="00DB02D1">
        <w:rPr>
          <w:sz w:val="26"/>
          <w:szCs w:val="26"/>
        </w:rPr>
        <w:t xml:space="preserve">  OTS Exc. at 16; OTS RB at 13.</w:t>
      </w:r>
      <w:r w:rsidR="004734DC">
        <w:rPr>
          <w:sz w:val="26"/>
          <w:szCs w:val="26"/>
        </w:rPr>
        <w:t xml:space="preserve"> </w:t>
      </w:r>
    </w:p>
    <w:p w:rsidR="000E03BB" w:rsidRDefault="000E03BB" w:rsidP="00F94FC6">
      <w:pPr>
        <w:spacing w:line="360" w:lineRule="auto"/>
        <w:rPr>
          <w:sz w:val="26"/>
          <w:szCs w:val="26"/>
        </w:rPr>
      </w:pPr>
    </w:p>
    <w:p w:rsidR="00751F02" w:rsidRDefault="00E17A59" w:rsidP="00751F02">
      <w:pPr>
        <w:spacing w:line="360" w:lineRule="auto"/>
        <w:ind w:firstLine="1440"/>
        <w:rPr>
          <w:sz w:val="26"/>
          <w:szCs w:val="26"/>
        </w:rPr>
      </w:pPr>
      <w:r>
        <w:rPr>
          <w:sz w:val="26"/>
          <w:szCs w:val="26"/>
        </w:rPr>
        <w:t xml:space="preserve">The ALJ also apparently agreed with the Companies’ argument that a representative capital structure should not be used because that approach would ensure that some EDCs over-recover their capital costs while other EDCs under-recover theirs.  </w:t>
      </w:r>
      <w:r w:rsidR="00DA1665">
        <w:rPr>
          <w:sz w:val="26"/>
          <w:szCs w:val="26"/>
        </w:rPr>
        <w:t>I.D. at 36.  The OTS responds that some EDCs have capital structures that are not representative of the industry norm.  Adoption of the OTS recommendation presents the Commission with the opportunity to apply a uniform structure that is more representative.  OTS Exc. at 16; OTS RB at 13-14.</w:t>
      </w:r>
    </w:p>
    <w:p w:rsidR="008E04DB" w:rsidRDefault="008E04DB" w:rsidP="00751F02">
      <w:pPr>
        <w:spacing w:line="360" w:lineRule="auto"/>
        <w:ind w:firstLine="1440"/>
        <w:rPr>
          <w:sz w:val="26"/>
          <w:szCs w:val="26"/>
        </w:rPr>
      </w:pPr>
    </w:p>
    <w:p w:rsidR="008E04DB" w:rsidRDefault="008E04DB" w:rsidP="00751F02">
      <w:pPr>
        <w:spacing w:line="360" w:lineRule="auto"/>
        <w:ind w:firstLine="1440"/>
        <w:rPr>
          <w:sz w:val="26"/>
          <w:szCs w:val="26"/>
        </w:rPr>
      </w:pPr>
      <w:r>
        <w:rPr>
          <w:sz w:val="26"/>
          <w:szCs w:val="26"/>
        </w:rPr>
        <w:t xml:space="preserve">Finally, the OTS submits that its recommendation should not be rejected simply because the nature of the assets to be capitalized might differ from one EDC to the next.  The OTS’s proposal would have the benefit of applying a uniform rate of return recovery treatment for all EDCs that must submit a smart meter plan. </w:t>
      </w:r>
      <w:r w:rsidR="008C18FD">
        <w:rPr>
          <w:sz w:val="26"/>
          <w:szCs w:val="26"/>
        </w:rPr>
        <w:t xml:space="preserve">If each EDC can recover the same overall rate of return on capital assets, no EDC would have an advantage or disadvantage relative to each other. </w:t>
      </w:r>
      <w:r>
        <w:rPr>
          <w:sz w:val="26"/>
          <w:szCs w:val="26"/>
        </w:rPr>
        <w:t xml:space="preserve"> OTS Exc. at 17.</w:t>
      </w:r>
    </w:p>
    <w:p w:rsidR="00366606" w:rsidRDefault="00366606" w:rsidP="00751F02">
      <w:pPr>
        <w:spacing w:line="360" w:lineRule="auto"/>
        <w:ind w:firstLine="1440"/>
        <w:rPr>
          <w:sz w:val="26"/>
          <w:szCs w:val="26"/>
        </w:rPr>
      </w:pPr>
    </w:p>
    <w:p w:rsidR="00366606" w:rsidRDefault="002A1E01" w:rsidP="00751F02">
      <w:pPr>
        <w:spacing w:line="360" w:lineRule="auto"/>
        <w:ind w:firstLine="1440"/>
        <w:rPr>
          <w:sz w:val="26"/>
          <w:szCs w:val="26"/>
        </w:rPr>
      </w:pPr>
      <w:r>
        <w:rPr>
          <w:sz w:val="26"/>
          <w:szCs w:val="26"/>
        </w:rPr>
        <w:t>The Companies respond that the Quarterly Earnings Reports are not intended to be used in the manner proposed by the OTS.  The</w:t>
      </w:r>
      <w:r w:rsidR="00B45976">
        <w:rPr>
          <w:sz w:val="26"/>
          <w:szCs w:val="26"/>
        </w:rPr>
        <w:t xml:space="preserve"> report has not been subjected to the level of scrutiny that would occur during a base rate case.  The </w:t>
      </w:r>
      <w:r w:rsidR="00B45976">
        <w:rPr>
          <w:sz w:val="26"/>
          <w:szCs w:val="26"/>
        </w:rPr>
        <w:lastRenderedPageBreak/>
        <w:t xml:space="preserve">Companies’ proposal, in contrast, utilizes data resulting from such litigation.  The Companies also </w:t>
      </w:r>
      <w:r w:rsidR="007B012A">
        <w:rPr>
          <w:sz w:val="26"/>
          <w:szCs w:val="26"/>
        </w:rPr>
        <w:t>argue</w:t>
      </w:r>
      <w:r w:rsidR="00B45976">
        <w:rPr>
          <w:sz w:val="26"/>
          <w:szCs w:val="26"/>
        </w:rPr>
        <w:t xml:space="preserve"> that their proposed </w:t>
      </w:r>
      <w:r w:rsidR="007B012A">
        <w:rPr>
          <w:sz w:val="26"/>
          <w:szCs w:val="26"/>
        </w:rPr>
        <w:t>capital structure</w:t>
      </w:r>
      <w:r w:rsidR="00F462C7">
        <w:rPr>
          <w:sz w:val="26"/>
          <w:szCs w:val="26"/>
        </w:rPr>
        <w:t xml:space="preserve"> of 51% long term debt and 49% equity</w:t>
      </w:r>
      <w:r w:rsidR="007B012A">
        <w:rPr>
          <w:sz w:val="26"/>
          <w:szCs w:val="26"/>
        </w:rPr>
        <w:t xml:space="preserve"> is reasonable, considering that the </w:t>
      </w:r>
      <w:r w:rsidR="00B45976">
        <w:rPr>
          <w:sz w:val="26"/>
          <w:szCs w:val="26"/>
        </w:rPr>
        <w:t>long term debt ratios for 2009</w:t>
      </w:r>
      <w:r w:rsidR="007B012A">
        <w:rPr>
          <w:sz w:val="26"/>
          <w:szCs w:val="26"/>
        </w:rPr>
        <w:t xml:space="preserve">, for the companies </w:t>
      </w:r>
      <w:r w:rsidR="00B45976">
        <w:rPr>
          <w:sz w:val="26"/>
          <w:szCs w:val="26"/>
        </w:rPr>
        <w:t>in the barometer group</w:t>
      </w:r>
      <w:r w:rsidR="007B012A">
        <w:rPr>
          <w:sz w:val="26"/>
          <w:szCs w:val="26"/>
        </w:rPr>
        <w:t>,</w:t>
      </w:r>
      <w:r w:rsidR="00B45976">
        <w:rPr>
          <w:sz w:val="26"/>
          <w:szCs w:val="26"/>
        </w:rPr>
        <w:t xml:space="preserve"> range from </w:t>
      </w:r>
      <w:r w:rsidR="00F462C7">
        <w:rPr>
          <w:sz w:val="26"/>
          <w:szCs w:val="26"/>
        </w:rPr>
        <w:t>35%</w:t>
      </w:r>
      <w:r w:rsidR="00B45976">
        <w:rPr>
          <w:sz w:val="26"/>
          <w:szCs w:val="26"/>
        </w:rPr>
        <w:t xml:space="preserve"> to </w:t>
      </w:r>
      <w:r w:rsidR="00F462C7">
        <w:rPr>
          <w:sz w:val="26"/>
          <w:szCs w:val="26"/>
        </w:rPr>
        <w:t>59%</w:t>
      </w:r>
      <w:r w:rsidR="00B45976">
        <w:rPr>
          <w:sz w:val="26"/>
          <w:szCs w:val="26"/>
        </w:rPr>
        <w:t>.</w:t>
      </w:r>
      <w:r w:rsidR="00F462C7">
        <w:rPr>
          <w:sz w:val="26"/>
          <w:szCs w:val="26"/>
        </w:rPr>
        <w:t xml:space="preserve">  </w:t>
      </w:r>
      <w:r w:rsidR="0065353A">
        <w:rPr>
          <w:sz w:val="26"/>
          <w:szCs w:val="26"/>
        </w:rPr>
        <w:t>T</w:t>
      </w:r>
      <w:r w:rsidR="00F462C7">
        <w:rPr>
          <w:sz w:val="26"/>
          <w:szCs w:val="26"/>
        </w:rPr>
        <w:t xml:space="preserve">he Companies </w:t>
      </w:r>
      <w:r w:rsidR="0065353A">
        <w:rPr>
          <w:sz w:val="26"/>
          <w:szCs w:val="26"/>
        </w:rPr>
        <w:t>submit that</w:t>
      </w:r>
      <w:r w:rsidR="00574CAC">
        <w:rPr>
          <w:sz w:val="26"/>
          <w:szCs w:val="26"/>
        </w:rPr>
        <w:t xml:space="preserve"> there is no basis for imposing a uniform capital structure on all EDCs that are subject to the smart meter plan requirement.  </w:t>
      </w:r>
      <w:r w:rsidR="0065353A">
        <w:rPr>
          <w:sz w:val="26"/>
          <w:szCs w:val="26"/>
        </w:rPr>
        <w:t xml:space="preserve">Uniformity ensures that some companies over-recover their capital costs while other companies under-recover theirs. </w:t>
      </w:r>
      <w:r w:rsidR="00E52098">
        <w:rPr>
          <w:sz w:val="26"/>
          <w:szCs w:val="26"/>
        </w:rPr>
        <w:t xml:space="preserve"> </w:t>
      </w:r>
      <w:r w:rsidR="00574CAC">
        <w:rPr>
          <w:sz w:val="26"/>
          <w:szCs w:val="26"/>
        </w:rPr>
        <w:t xml:space="preserve">According to the Companies, </w:t>
      </w:r>
      <w:r w:rsidR="00F462C7">
        <w:rPr>
          <w:sz w:val="26"/>
          <w:szCs w:val="26"/>
        </w:rPr>
        <w:t>each ED</w:t>
      </w:r>
      <w:r w:rsidR="00574CAC">
        <w:rPr>
          <w:sz w:val="26"/>
          <w:szCs w:val="26"/>
        </w:rPr>
        <w:t>C</w:t>
      </w:r>
      <w:r w:rsidR="00F462C7">
        <w:rPr>
          <w:sz w:val="26"/>
          <w:szCs w:val="26"/>
        </w:rPr>
        <w:t xml:space="preserve"> is unique and has approached the smart meter </w:t>
      </w:r>
      <w:r w:rsidR="00574CAC">
        <w:rPr>
          <w:sz w:val="26"/>
          <w:szCs w:val="26"/>
        </w:rPr>
        <w:t xml:space="preserve">requirement in its own way. </w:t>
      </w:r>
      <w:r w:rsidR="00B45976">
        <w:rPr>
          <w:sz w:val="26"/>
          <w:szCs w:val="26"/>
        </w:rPr>
        <w:t xml:space="preserve"> </w:t>
      </w:r>
      <w:r w:rsidR="0065353A">
        <w:rPr>
          <w:sz w:val="26"/>
          <w:szCs w:val="26"/>
        </w:rPr>
        <w:t>As a result</w:t>
      </w:r>
      <w:r w:rsidR="00574CAC">
        <w:rPr>
          <w:sz w:val="26"/>
          <w:szCs w:val="26"/>
        </w:rPr>
        <w:t>, there is no reason to treat the EDCs uniformly.</w:t>
      </w:r>
      <w:r w:rsidR="00B45976">
        <w:rPr>
          <w:sz w:val="26"/>
          <w:szCs w:val="26"/>
        </w:rPr>
        <w:t xml:space="preserve"> </w:t>
      </w:r>
      <w:r w:rsidR="0065353A">
        <w:rPr>
          <w:sz w:val="26"/>
          <w:szCs w:val="26"/>
        </w:rPr>
        <w:t xml:space="preserve"> </w:t>
      </w:r>
      <w:r w:rsidR="00B55DC4">
        <w:rPr>
          <w:sz w:val="26"/>
          <w:szCs w:val="26"/>
        </w:rPr>
        <w:t>FirstEnergy</w:t>
      </w:r>
      <w:r w:rsidR="0065353A">
        <w:rPr>
          <w:sz w:val="26"/>
          <w:szCs w:val="26"/>
        </w:rPr>
        <w:t xml:space="preserve"> R.Exc. at 14.</w:t>
      </w:r>
    </w:p>
    <w:p w:rsidR="000E03BB" w:rsidRDefault="000E03BB" w:rsidP="00F94FC6">
      <w:pPr>
        <w:spacing w:line="360" w:lineRule="auto"/>
        <w:rPr>
          <w:sz w:val="26"/>
          <w:szCs w:val="26"/>
        </w:rPr>
      </w:pPr>
    </w:p>
    <w:p w:rsidR="00F94FC6" w:rsidRDefault="00F94FC6" w:rsidP="00F94FC6">
      <w:pPr>
        <w:spacing w:line="360" w:lineRule="auto"/>
        <w:ind w:firstLine="1440"/>
        <w:rPr>
          <w:sz w:val="26"/>
          <w:szCs w:val="26"/>
        </w:rPr>
      </w:pPr>
      <w:r>
        <w:rPr>
          <w:sz w:val="26"/>
          <w:szCs w:val="26"/>
        </w:rPr>
        <w:t xml:space="preserve">No other Party addressed this aspect of the Initial Decision. </w:t>
      </w:r>
    </w:p>
    <w:p w:rsidR="00F94FC6" w:rsidRPr="00880CB7" w:rsidRDefault="00F94FC6" w:rsidP="00F94FC6">
      <w:pPr>
        <w:spacing w:line="360" w:lineRule="auto"/>
        <w:rPr>
          <w:sz w:val="26"/>
          <w:szCs w:val="26"/>
        </w:rPr>
      </w:pPr>
    </w:p>
    <w:p w:rsidR="00EB3313" w:rsidRPr="00880CB7" w:rsidRDefault="00EB3313" w:rsidP="00EB3313">
      <w:pPr>
        <w:pStyle w:val="Heading5"/>
        <w:rPr>
          <w:szCs w:val="26"/>
        </w:rPr>
      </w:pPr>
      <w:bookmarkStart w:id="68" w:name="_Toc263848857"/>
      <w:r w:rsidRPr="00880CB7">
        <w:rPr>
          <w:szCs w:val="26"/>
        </w:rPr>
        <w:t>4.</w:t>
      </w:r>
      <w:r w:rsidRPr="00880CB7">
        <w:rPr>
          <w:szCs w:val="26"/>
        </w:rPr>
        <w:tab/>
        <w:t>Disposition</w:t>
      </w:r>
      <w:bookmarkEnd w:id="68"/>
    </w:p>
    <w:p w:rsidR="00EB3313" w:rsidRPr="00880CB7" w:rsidRDefault="00EB3313" w:rsidP="00EB3313">
      <w:pPr>
        <w:rPr>
          <w:sz w:val="26"/>
          <w:szCs w:val="26"/>
        </w:rPr>
      </w:pPr>
    </w:p>
    <w:p w:rsidR="00EB3313" w:rsidRPr="00880CB7" w:rsidRDefault="00EB3313" w:rsidP="00EB3313">
      <w:pPr>
        <w:rPr>
          <w:sz w:val="26"/>
          <w:szCs w:val="26"/>
        </w:rPr>
      </w:pPr>
    </w:p>
    <w:p w:rsidR="00CC7BA0" w:rsidRDefault="00CC7BA0" w:rsidP="00F65430">
      <w:pPr>
        <w:spacing w:line="360" w:lineRule="auto"/>
        <w:ind w:firstLine="1440"/>
      </w:pPr>
      <w:r>
        <w:rPr>
          <w:sz w:val="26"/>
          <w:szCs w:val="26"/>
        </w:rPr>
        <w:t xml:space="preserve">We will modify the decision of the ALJ.  Although we prefer </w:t>
      </w:r>
      <w:r w:rsidR="004546B0">
        <w:rPr>
          <w:sz w:val="26"/>
          <w:szCs w:val="26"/>
        </w:rPr>
        <w:t xml:space="preserve">a </w:t>
      </w:r>
      <w:r>
        <w:rPr>
          <w:sz w:val="26"/>
          <w:szCs w:val="26"/>
        </w:rPr>
        <w:t xml:space="preserve">company-specific </w:t>
      </w:r>
      <w:r w:rsidR="004546B0">
        <w:rPr>
          <w:sz w:val="26"/>
          <w:szCs w:val="26"/>
        </w:rPr>
        <w:t>approach</w:t>
      </w:r>
      <w:r>
        <w:rPr>
          <w:sz w:val="26"/>
          <w:szCs w:val="26"/>
        </w:rPr>
        <w:t xml:space="preserve">, we are concerned </w:t>
      </w:r>
      <w:r w:rsidR="004546B0">
        <w:rPr>
          <w:sz w:val="26"/>
          <w:szCs w:val="26"/>
        </w:rPr>
        <w:t xml:space="preserve">about the use of stale information where </w:t>
      </w:r>
      <w:r w:rsidR="002C29D6">
        <w:rPr>
          <w:sz w:val="26"/>
          <w:szCs w:val="26"/>
        </w:rPr>
        <w:t xml:space="preserve">the </w:t>
      </w:r>
      <w:r w:rsidR="004546B0">
        <w:rPr>
          <w:sz w:val="26"/>
          <w:szCs w:val="26"/>
        </w:rPr>
        <w:t>EDC</w:t>
      </w:r>
      <w:r w:rsidR="002C29D6">
        <w:rPr>
          <w:sz w:val="26"/>
          <w:szCs w:val="26"/>
        </w:rPr>
        <w:t xml:space="preserve">’s most recent </w:t>
      </w:r>
      <w:r w:rsidR="004546B0">
        <w:rPr>
          <w:sz w:val="26"/>
          <w:szCs w:val="26"/>
        </w:rPr>
        <w:t xml:space="preserve">base rate case </w:t>
      </w:r>
      <w:r w:rsidR="002C29D6">
        <w:rPr>
          <w:sz w:val="26"/>
          <w:szCs w:val="26"/>
        </w:rPr>
        <w:t>is dated</w:t>
      </w:r>
      <w:r w:rsidR="004546B0">
        <w:rPr>
          <w:sz w:val="26"/>
          <w:szCs w:val="26"/>
        </w:rPr>
        <w:t>.</w:t>
      </w:r>
      <w:r w:rsidR="002C29D6">
        <w:rPr>
          <w:sz w:val="26"/>
          <w:szCs w:val="26"/>
        </w:rPr>
        <w:t xml:space="preserve">  Consequently, we find that the capital structure for each Company will be determined as follows:  </w:t>
      </w:r>
      <w:r w:rsidR="00B65A86">
        <w:rPr>
          <w:sz w:val="26"/>
          <w:szCs w:val="26"/>
        </w:rPr>
        <w:t>I</w:t>
      </w:r>
      <w:r w:rsidR="002C29D6">
        <w:rPr>
          <w:sz w:val="26"/>
          <w:szCs w:val="26"/>
        </w:rPr>
        <w:t xml:space="preserve">f the Company </w:t>
      </w:r>
      <w:r>
        <w:rPr>
          <w:sz w:val="26"/>
          <w:szCs w:val="26"/>
        </w:rPr>
        <w:t xml:space="preserve">has a capital structure from a litigated base rate case </w:t>
      </w:r>
      <w:r w:rsidR="00A80D4E">
        <w:rPr>
          <w:sz w:val="26"/>
          <w:szCs w:val="26"/>
        </w:rPr>
        <w:t xml:space="preserve">that is less than three </w:t>
      </w:r>
      <w:r>
        <w:rPr>
          <w:sz w:val="26"/>
          <w:szCs w:val="26"/>
        </w:rPr>
        <w:t>years old</w:t>
      </w:r>
      <w:r w:rsidR="002C29D6">
        <w:rPr>
          <w:sz w:val="26"/>
          <w:szCs w:val="26"/>
        </w:rPr>
        <w:t>,</w:t>
      </w:r>
      <w:r>
        <w:rPr>
          <w:sz w:val="26"/>
          <w:szCs w:val="26"/>
        </w:rPr>
        <w:t xml:space="preserve"> the </w:t>
      </w:r>
      <w:r w:rsidR="00123CA9">
        <w:rPr>
          <w:sz w:val="26"/>
          <w:szCs w:val="26"/>
        </w:rPr>
        <w:t>c</w:t>
      </w:r>
      <w:r>
        <w:rPr>
          <w:sz w:val="26"/>
          <w:szCs w:val="26"/>
        </w:rPr>
        <w:t xml:space="preserve">apital structure ratios </w:t>
      </w:r>
      <w:r w:rsidR="00123CA9">
        <w:rPr>
          <w:sz w:val="26"/>
          <w:szCs w:val="26"/>
        </w:rPr>
        <w:t xml:space="preserve">from that base rate case </w:t>
      </w:r>
      <w:r>
        <w:rPr>
          <w:sz w:val="26"/>
          <w:szCs w:val="26"/>
        </w:rPr>
        <w:t>shall be used for the purposes of recovering</w:t>
      </w:r>
      <w:r w:rsidR="00B65A86">
        <w:rPr>
          <w:sz w:val="26"/>
          <w:szCs w:val="26"/>
        </w:rPr>
        <w:t xml:space="preserve"> the Company’s</w:t>
      </w:r>
      <w:r>
        <w:rPr>
          <w:sz w:val="26"/>
          <w:szCs w:val="26"/>
        </w:rPr>
        <w:t xml:space="preserve"> smart meter costs.</w:t>
      </w:r>
      <w:r w:rsidR="00C97AD4">
        <w:rPr>
          <w:rStyle w:val="FootnoteReference"/>
          <w:sz w:val="26"/>
          <w:szCs w:val="26"/>
        </w:rPr>
        <w:footnoteReference w:id="1"/>
      </w:r>
      <w:r>
        <w:rPr>
          <w:sz w:val="26"/>
          <w:szCs w:val="26"/>
        </w:rPr>
        <w:t xml:space="preserve">  </w:t>
      </w:r>
      <w:r w:rsidR="00A80D4E">
        <w:rPr>
          <w:sz w:val="26"/>
          <w:szCs w:val="26"/>
        </w:rPr>
        <w:t xml:space="preserve">If the Company’s last litigated base rate case is more than three years old, the capital structure ratio that will be used is the Company’s actual capital structure included in the </w:t>
      </w:r>
      <w:r w:rsidR="00381414">
        <w:rPr>
          <w:sz w:val="26"/>
          <w:szCs w:val="26"/>
        </w:rPr>
        <w:t xml:space="preserve">then most </w:t>
      </w:r>
      <w:r w:rsidR="001B1806">
        <w:rPr>
          <w:sz w:val="26"/>
          <w:szCs w:val="26"/>
        </w:rPr>
        <w:t>recent</w:t>
      </w:r>
      <w:r w:rsidR="00381414">
        <w:rPr>
          <w:sz w:val="26"/>
          <w:szCs w:val="26"/>
        </w:rPr>
        <w:t xml:space="preserve"> </w:t>
      </w:r>
      <w:r w:rsidR="00A80D4E">
        <w:rPr>
          <w:sz w:val="26"/>
          <w:szCs w:val="26"/>
        </w:rPr>
        <w:t>Quarterly Earnings Report</w:t>
      </w:r>
      <w:r w:rsidR="00123CA9">
        <w:rPr>
          <w:sz w:val="26"/>
          <w:szCs w:val="26"/>
        </w:rPr>
        <w:t>.</w:t>
      </w:r>
      <w:r w:rsidR="0036307A">
        <w:rPr>
          <w:rStyle w:val="FootnoteReference"/>
          <w:sz w:val="26"/>
          <w:szCs w:val="26"/>
        </w:rPr>
        <w:footnoteReference w:id="2"/>
      </w:r>
      <w:r w:rsidR="007D212F">
        <w:rPr>
          <w:sz w:val="26"/>
          <w:szCs w:val="26"/>
        </w:rPr>
        <w:t xml:space="preserve">  If</w:t>
      </w:r>
      <w:r w:rsidR="004423B8">
        <w:rPr>
          <w:sz w:val="26"/>
          <w:szCs w:val="26"/>
        </w:rPr>
        <w:t>, however,</w:t>
      </w:r>
      <w:r w:rsidR="007D212F">
        <w:rPr>
          <w:sz w:val="26"/>
          <w:szCs w:val="26"/>
        </w:rPr>
        <w:t xml:space="preserve"> the Company’s </w:t>
      </w:r>
      <w:r w:rsidR="00C97AD4">
        <w:rPr>
          <w:sz w:val="26"/>
          <w:szCs w:val="26"/>
        </w:rPr>
        <w:lastRenderedPageBreak/>
        <w:t xml:space="preserve">actual capital structure from the Quarterly Earnings Report </w:t>
      </w:r>
      <w:r w:rsidR="007D212F">
        <w:rPr>
          <w:sz w:val="26"/>
          <w:szCs w:val="26"/>
        </w:rPr>
        <w:t>is outside the zone of reasonableness for the electric utility industry,</w:t>
      </w:r>
      <w:r w:rsidR="00AD32A2" w:rsidRPr="00AD32A2">
        <w:rPr>
          <w:rStyle w:val="FootnoteReference"/>
          <w:sz w:val="26"/>
          <w:szCs w:val="26"/>
        </w:rPr>
        <w:t xml:space="preserve"> </w:t>
      </w:r>
      <w:r w:rsidR="00AD32A2">
        <w:rPr>
          <w:rStyle w:val="FootnoteReference"/>
          <w:sz w:val="26"/>
          <w:szCs w:val="26"/>
        </w:rPr>
        <w:footnoteReference w:id="3"/>
      </w:r>
      <w:r w:rsidR="007D212F">
        <w:rPr>
          <w:sz w:val="26"/>
          <w:szCs w:val="26"/>
        </w:rPr>
        <w:t xml:space="preserve"> the capital structure ratio that will be used is </w:t>
      </w:r>
      <w:r w:rsidR="00F65430">
        <w:rPr>
          <w:sz w:val="26"/>
          <w:szCs w:val="26"/>
        </w:rPr>
        <w:t xml:space="preserve">the </w:t>
      </w:r>
      <w:r w:rsidR="007D212F">
        <w:rPr>
          <w:sz w:val="26"/>
          <w:szCs w:val="26"/>
        </w:rPr>
        <w:t xml:space="preserve">average of the electric utility barometer group that is included in the </w:t>
      </w:r>
      <w:r w:rsidR="00381414">
        <w:rPr>
          <w:sz w:val="26"/>
          <w:szCs w:val="26"/>
        </w:rPr>
        <w:t xml:space="preserve">then most </w:t>
      </w:r>
      <w:r w:rsidR="001B1806">
        <w:rPr>
          <w:sz w:val="26"/>
          <w:szCs w:val="26"/>
        </w:rPr>
        <w:t>recent</w:t>
      </w:r>
      <w:r w:rsidR="00381414">
        <w:rPr>
          <w:sz w:val="26"/>
          <w:szCs w:val="26"/>
        </w:rPr>
        <w:t xml:space="preserve"> </w:t>
      </w:r>
      <w:r w:rsidR="007D212F">
        <w:rPr>
          <w:sz w:val="26"/>
          <w:szCs w:val="26"/>
        </w:rPr>
        <w:t>Quarterly Earnings Report.</w:t>
      </w:r>
      <w:r w:rsidR="00A80D4E">
        <w:rPr>
          <w:sz w:val="26"/>
          <w:szCs w:val="26"/>
        </w:rPr>
        <w:t xml:space="preserve"> </w:t>
      </w:r>
      <w:r w:rsidR="004423B8">
        <w:rPr>
          <w:sz w:val="26"/>
          <w:szCs w:val="26"/>
        </w:rPr>
        <w:t xml:space="preserve"> </w:t>
      </w:r>
      <w:r>
        <w:rPr>
          <w:sz w:val="26"/>
          <w:szCs w:val="26"/>
        </w:rPr>
        <w:t>The applicable capital structure ratio shall be refreshed after the results of the next base rate case</w:t>
      </w:r>
      <w:r w:rsidR="00F65430">
        <w:rPr>
          <w:sz w:val="26"/>
          <w:szCs w:val="26"/>
        </w:rPr>
        <w:t xml:space="preserve"> for that Company</w:t>
      </w:r>
      <w:r>
        <w:rPr>
          <w:sz w:val="26"/>
          <w:szCs w:val="26"/>
        </w:rPr>
        <w:t xml:space="preserve">.  To the extent that </w:t>
      </w:r>
      <w:r w:rsidR="00DE262E">
        <w:rPr>
          <w:sz w:val="26"/>
          <w:szCs w:val="26"/>
        </w:rPr>
        <w:t xml:space="preserve">the </w:t>
      </w:r>
      <w:r w:rsidR="00F65430">
        <w:rPr>
          <w:sz w:val="26"/>
          <w:szCs w:val="26"/>
        </w:rPr>
        <w:t xml:space="preserve">Company’s </w:t>
      </w:r>
      <w:r>
        <w:rPr>
          <w:sz w:val="26"/>
          <w:szCs w:val="26"/>
        </w:rPr>
        <w:t xml:space="preserve">subsequent base rate case is settled, </w:t>
      </w:r>
      <w:r w:rsidR="00F65430">
        <w:rPr>
          <w:sz w:val="26"/>
          <w:szCs w:val="26"/>
        </w:rPr>
        <w:t xml:space="preserve">the </w:t>
      </w:r>
      <w:r>
        <w:rPr>
          <w:sz w:val="26"/>
          <w:szCs w:val="26"/>
        </w:rPr>
        <w:t>parties are to establish the applicable capital structure ratio to apply for the purposes of the P</w:t>
      </w:r>
      <w:r w:rsidR="00F65430">
        <w:rPr>
          <w:sz w:val="26"/>
          <w:szCs w:val="26"/>
        </w:rPr>
        <w:t>lan</w:t>
      </w:r>
      <w:r>
        <w:rPr>
          <w:sz w:val="26"/>
          <w:szCs w:val="26"/>
        </w:rPr>
        <w:t xml:space="preserve"> recovery mechanism in that proceeding.</w:t>
      </w:r>
    </w:p>
    <w:p w:rsidR="00EB3313" w:rsidRPr="00880CB7" w:rsidRDefault="00EB3313" w:rsidP="002F5812">
      <w:pPr>
        <w:spacing w:line="360" w:lineRule="auto"/>
        <w:ind w:firstLine="1440"/>
        <w:rPr>
          <w:sz w:val="26"/>
          <w:szCs w:val="26"/>
        </w:rPr>
      </w:pPr>
    </w:p>
    <w:p w:rsidR="002F5812" w:rsidRDefault="00A117DD" w:rsidP="00A117DD">
      <w:pPr>
        <w:pStyle w:val="Heading4"/>
      </w:pPr>
      <w:bookmarkStart w:id="69" w:name="_Toc259798222"/>
      <w:bookmarkStart w:id="70" w:name="_Toc263848858"/>
      <w:r>
        <w:t xml:space="preserve">b.  </w:t>
      </w:r>
      <w:r>
        <w:tab/>
        <w:t>Cost Rates of Senior Securities</w:t>
      </w:r>
      <w:bookmarkEnd w:id="69"/>
      <w:bookmarkEnd w:id="70"/>
    </w:p>
    <w:p w:rsidR="00A117DD" w:rsidRDefault="00A117DD" w:rsidP="002F5812">
      <w:pPr>
        <w:spacing w:line="360" w:lineRule="auto"/>
        <w:ind w:firstLine="1440"/>
        <w:rPr>
          <w:sz w:val="26"/>
          <w:szCs w:val="26"/>
        </w:rPr>
      </w:pPr>
    </w:p>
    <w:p w:rsidR="00EB3313" w:rsidRDefault="00EB3313" w:rsidP="00EB3313">
      <w:pPr>
        <w:pStyle w:val="Heading5"/>
      </w:pPr>
      <w:bookmarkStart w:id="71" w:name="_Toc263848859"/>
      <w:r>
        <w:t>1.</w:t>
      </w:r>
      <w:r>
        <w:tab/>
      </w:r>
      <w:r w:rsidR="00B55DC4">
        <w:t>FirstEnergy</w:t>
      </w:r>
      <w:r>
        <w:t>’s Plan</w:t>
      </w:r>
      <w:bookmarkEnd w:id="71"/>
    </w:p>
    <w:p w:rsidR="00EB3313" w:rsidRDefault="00EB3313" w:rsidP="00EB3313">
      <w:pPr>
        <w:spacing w:line="360" w:lineRule="auto"/>
        <w:ind w:firstLine="2160"/>
        <w:rPr>
          <w:sz w:val="26"/>
          <w:szCs w:val="26"/>
        </w:rPr>
      </w:pPr>
    </w:p>
    <w:p w:rsidR="00F63FB2" w:rsidRDefault="00F63415" w:rsidP="00F63FB2">
      <w:pPr>
        <w:spacing w:line="360" w:lineRule="auto"/>
        <w:ind w:firstLine="1440"/>
        <w:rPr>
          <w:sz w:val="26"/>
          <w:szCs w:val="26"/>
        </w:rPr>
      </w:pPr>
      <w:r>
        <w:rPr>
          <w:sz w:val="26"/>
          <w:szCs w:val="26"/>
        </w:rPr>
        <w:t>The Companies proposed using their</w:t>
      </w:r>
      <w:r w:rsidR="00F63FB2">
        <w:rPr>
          <w:sz w:val="26"/>
          <w:szCs w:val="26"/>
        </w:rPr>
        <w:t xml:space="preserve"> most recent calendar year’s cost of long-term debt as reported to the Commission in their annual earnings reports to the Commission.  </w:t>
      </w:r>
      <w:r w:rsidR="00B55DC4">
        <w:rPr>
          <w:sz w:val="26"/>
          <w:szCs w:val="26"/>
        </w:rPr>
        <w:t>FirstEnergy</w:t>
      </w:r>
      <w:r w:rsidR="00F63FB2">
        <w:rPr>
          <w:sz w:val="26"/>
          <w:szCs w:val="26"/>
        </w:rPr>
        <w:t xml:space="preserve"> MB at 10.</w:t>
      </w:r>
      <w:r>
        <w:rPr>
          <w:sz w:val="26"/>
          <w:szCs w:val="26"/>
        </w:rPr>
        <w:t xml:space="preserve">  This figure would be updated annually.  </w:t>
      </w:r>
      <w:r w:rsidRPr="00F63415">
        <w:rPr>
          <w:i/>
          <w:sz w:val="26"/>
          <w:szCs w:val="26"/>
        </w:rPr>
        <w:t>Id</w:t>
      </w:r>
      <w:r>
        <w:rPr>
          <w:sz w:val="26"/>
          <w:szCs w:val="26"/>
        </w:rPr>
        <w:t xml:space="preserve">. at 27.  The OTS proposed that this figure be updated quarterly.  OTS </w:t>
      </w:r>
      <w:r w:rsidR="00997D8D">
        <w:rPr>
          <w:sz w:val="26"/>
          <w:szCs w:val="26"/>
        </w:rPr>
        <w:t xml:space="preserve">RB at 5. </w:t>
      </w:r>
    </w:p>
    <w:p w:rsidR="00F63FB2" w:rsidRDefault="00F63FB2" w:rsidP="00EB3313">
      <w:pPr>
        <w:spacing w:line="360" w:lineRule="auto"/>
        <w:ind w:firstLine="2160"/>
        <w:rPr>
          <w:sz w:val="26"/>
          <w:szCs w:val="26"/>
        </w:rPr>
      </w:pPr>
    </w:p>
    <w:p w:rsidR="00EB3313" w:rsidRDefault="00EB3313" w:rsidP="00EB3313">
      <w:pPr>
        <w:pStyle w:val="Heading5"/>
      </w:pPr>
      <w:bookmarkStart w:id="72" w:name="_Toc263848860"/>
      <w:r>
        <w:t>2.</w:t>
      </w:r>
      <w:r>
        <w:tab/>
        <w:t>ALJ’s Recommendation</w:t>
      </w:r>
      <w:bookmarkEnd w:id="72"/>
    </w:p>
    <w:p w:rsidR="00997D8D" w:rsidRDefault="00997D8D" w:rsidP="00997D8D">
      <w:pPr>
        <w:spacing w:line="360" w:lineRule="auto"/>
        <w:ind w:firstLine="1440"/>
        <w:rPr>
          <w:sz w:val="26"/>
          <w:szCs w:val="26"/>
        </w:rPr>
      </w:pPr>
    </w:p>
    <w:p w:rsidR="00EB3313" w:rsidRDefault="00997D8D" w:rsidP="00997D8D">
      <w:pPr>
        <w:spacing w:line="360" w:lineRule="auto"/>
        <w:ind w:firstLine="1440"/>
        <w:rPr>
          <w:sz w:val="26"/>
          <w:szCs w:val="26"/>
        </w:rPr>
      </w:pPr>
      <w:r>
        <w:rPr>
          <w:sz w:val="26"/>
          <w:szCs w:val="26"/>
        </w:rPr>
        <w:t>The ALJ approved the Plan, as proposed, with regard to this issue.  The ALJ noted that the OTS’</w:t>
      </w:r>
      <w:r w:rsidR="00066031">
        <w:rPr>
          <w:sz w:val="26"/>
          <w:szCs w:val="26"/>
        </w:rPr>
        <w:t>s</w:t>
      </w:r>
      <w:r>
        <w:rPr>
          <w:sz w:val="26"/>
          <w:szCs w:val="26"/>
        </w:rPr>
        <w:t xml:space="preserve"> proposal called for blending the cost rates of debt and preferred stock, but the Companies have no preferred stock outstanding.  In addition, </w:t>
      </w:r>
      <w:r w:rsidR="00503C85">
        <w:rPr>
          <w:sz w:val="26"/>
          <w:szCs w:val="26"/>
        </w:rPr>
        <w:t>the ALJ apparently agreed with the Companies that there is no precedent for such a blended rate.  I.D. at 36-37.</w:t>
      </w:r>
    </w:p>
    <w:p w:rsidR="00997D8D" w:rsidRDefault="00997D8D" w:rsidP="00EB3313">
      <w:pPr>
        <w:spacing w:line="360" w:lineRule="auto"/>
        <w:ind w:firstLine="2160"/>
        <w:rPr>
          <w:sz w:val="26"/>
          <w:szCs w:val="26"/>
        </w:rPr>
      </w:pPr>
    </w:p>
    <w:p w:rsidR="00EB3313" w:rsidRDefault="00EB3313" w:rsidP="00EB3313">
      <w:pPr>
        <w:pStyle w:val="Heading5"/>
      </w:pPr>
      <w:bookmarkStart w:id="73" w:name="_Toc263848861"/>
      <w:r>
        <w:t>3.</w:t>
      </w:r>
      <w:r>
        <w:tab/>
        <w:t>Positions of the Parties</w:t>
      </w:r>
      <w:bookmarkEnd w:id="73"/>
    </w:p>
    <w:p w:rsidR="00EB3313" w:rsidRDefault="00EB3313" w:rsidP="00EB3313"/>
    <w:p w:rsidR="00503C85" w:rsidRDefault="00503C85" w:rsidP="00503C85">
      <w:pPr>
        <w:spacing w:line="360" w:lineRule="auto"/>
        <w:ind w:firstLine="1440"/>
        <w:rPr>
          <w:sz w:val="26"/>
          <w:szCs w:val="26"/>
        </w:rPr>
      </w:pPr>
      <w:r>
        <w:rPr>
          <w:sz w:val="26"/>
          <w:szCs w:val="26"/>
        </w:rPr>
        <w:t xml:space="preserve">The OTS argues that the ALJ failed to give adequate weight to its argument that using quarterly debt cost rates is preferable because that approach better reflects </w:t>
      </w:r>
      <w:r w:rsidR="00A3557C">
        <w:rPr>
          <w:sz w:val="26"/>
          <w:szCs w:val="26"/>
        </w:rPr>
        <w:t xml:space="preserve">the Companies’ </w:t>
      </w:r>
      <w:r>
        <w:rPr>
          <w:sz w:val="26"/>
          <w:szCs w:val="26"/>
        </w:rPr>
        <w:t xml:space="preserve">actual </w:t>
      </w:r>
      <w:r w:rsidR="00A3557C">
        <w:rPr>
          <w:sz w:val="26"/>
          <w:szCs w:val="26"/>
        </w:rPr>
        <w:t>current cost rate and will better reflect the cost of capital used to finance the smart meter technology.  OTS Exc. at 18-19; OTS RB at 1</w:t>
      </w:r>
      <w:r w:rsidR="006A1B4F">
        <w:rPr>
          <w:sz w:val="26"/>
          <w:szCs w:val="26"/>
        </w:rPr>
        <w:t>6.</w:t>
      </w:r>
    </w:p>
    <w:p w:rsidR="00E52098" w:rsidRDefault="00E52098" w:rsidP="00503C85">
      <w:pPr>
        <w:spacing w:line="360" w:lineRule="auto"/>
        <w:ind w:firstLine="1440"/>
        <w:rPr>
          <w:sz w:val="26"/>
          <w:szCs w:val="26"/>
        </w:rPr>
      </w:pPr>
    </w:p>
    <w:p w:rsidR="00E52098" w:rsidRDefault="00E52098" w:rsidP="00503C85">
      <w:pPr>
        <w:spacing w:line="360" w:lineRule="auto"/>
        <w:ind w:firstLine="1440"/>
        <w:rPr>
          <w:sz w:val="26"/>
          <w:szCs w:val="26"/>
        </w:rPr>
      </w:pPr>
      <w:r>
        <w:rPr>
          <w:sz w:val="26"/>
          <w:szCs w:val="26"/>
        </w:rPr>
        <w:t>The Companies continue to oppose</w:t>
      </w:r>
      <w:r w:rsidR="006D4EF7">
        <w:rPr>
          <w:sz w:val="26"/>
          <w:szCs w:val="26"/>
        </w:rPr>
        <w:t xml:space="preserve"> the</w:t>
      </w:r>
      <w:r>
        <w:rPr>
          <w:sz w:val="26"/>
          <w:szCs w:val="26"/>
        </w:rPr>
        <w:t xml:space="preserve"> OTS’s recommendation.  They argue “neither the frequency nor the magnitude of changes in the weighted average cost rate of senior securities is likely to produce any material impact on the Companies’ overall cost of capital on a quarterly basis.”  </w:t>
      </w:r>
      <w:r w:rsidR="00B55DC4">
        <w:rPr>
          <w:sz w:val="26"/>
          <w:szCs w:val="26"/>
        </w:rPr>
        <w:t>FirstEnergy</w:t>
      </w:r>
      <w:r>
        <w:rPr>
          <w:sz w:val="26"/>
          <w:szCs w:val="26"/>
        </w:rPr>
        <w:t xml:space="preserve"> R.Exc. at 14.</w:t>
      </w:r>
      <w:r w:rsidR="00023DA7">
        <w:rPr>
          <w:sz w:val="26"/>
          <w:szCs w:val="26"/>
        </w:rPr>
        <w:t xml:space="preserve">  They also argue that the time and resources required by a quarterly filing and adjustment outweigh the benefits of such a procedure.   </w:t>
      </w:r>
    </w:p>
    <w:p w:rsidR="00503C85" w:rsidRDefault="00503C85" w:rsidP="00503C85">
      <w:pPr>
        <w:spacing w:line="360" w:lineRule="auto"/>
        <w:ind w:firstLine="1440"/>
        <w:rPr>
          <w:sz w:val="26"/>
          <w:szCs w:val="26"/>
        </w:rPr>
      </w:pPr>
    </w:p>
    <w:p w:rsidR="00503C85" w:rsidRDefault="00503C85" w:rsidP="00503C85">
      <w:pPr>
        <w:spacing w:line="360" w:lineRule="auto"/>
        <w:ind w:firstLine="1440"/>
        <w:rPr>
          <w:sz w:val="26"/>
          <w:szCs w:val="26"/>
        </w:rPr>
      </w:pPr>
      <w:r>
        <w:rPr>
          <w:sz w:val="26"/>
          <w:szCs w:val="26"/>
        </w:rPr>
        <w:t xml:space="preserve">No other Party addressed this aspect of the Initial Decision. </w:t>
      </w:r>
    </w:p>
    <w:p w:rsidR="00503C85" w:rsidRDefault="00503C85" w:rsidP="00EB3313"/>
    <w:p w:rsidR="00EB3313" w:rsidRDefault="00EB3313" w:rsidP="00EB3313">
      <w:pPr>
        <w:pStyle w:val="Heading5"/>
      </w:pPr>
      <w:bookmarkStart w:id="74" w:name="_Toc263848862"/>
      <w:r>
        <w:t>4.</w:t>
      </w:r>
      <w:r>
        <w:tab/>
        <w:t>Disposition</w:t>
      </w:r>
      <w:bookmarkEnd w:id="74"/>
    </w:p>
    <w:p w:rsidR="00EB3313" w:rsidRDefault="00EB3313" w:rsidP="00EB3313"/>
    <w:p w:rsidR="000A6B98" w:rsidRDefault="0024026B" w:rsidP="000A6B98">
      <w:pPr>
        <w:spacing w:line="360" w:lineRule="auto"/>
        <w:ind w:firstLine="1440"/>
        <w:rPr>
          <w:sz w:val="26"/>
          <w:szCs w:val="26"/>
        </w:rPr>
      </w:pPr>
      <w:r>
        <w:rPr>
          <w:sz w:val="26"/>
          <w:szCs w:val="26"/>
        </w:rPr>
        <w:t xml:space="preserve">We agree that the mechanism proposed by </w:t>
      </w:r>
      <w:r w:rsidR="00066031">
        <w:rPr>
          <w:sz w:val="26"/>
          <w:szCs w:val="26"/>
        </w:rPr>
        <w:t xml:space="preserve">the </w:t>
      </w:r>
      <w:r>
        <w:rPr>
          <w:sz w:val="26"/>
          <w:szCs w:val="26"/>
        </w:rPr>
        <w:t xml:space="preserve">OTS (the most recent Quarterly Earnings Reports) should be used </w:t>
      </w:r>
      <w:r w:rsidR="006D4EF7">
        <w:rPr>
          <w:sz w:val="26"/>
          <w:szCs w:val="26"/>
        </w:rPr>
        <w:t>because</w:t>
      </w:r>
      <w:r w:rsidR="000A6B98">
        <w:rPr>
          <w:sz w:val="26"/>
          <w:szCs w:val="26"/>
        </w:rPr>
        <w:t xml:space="preserve"> </w:t>
      </w:r>
      <w:r w:rsidR="00421AC8">
        <w:rPr>
          <w:sz w:val="26"/>
          <w:szCs w:val="26"/>
        </w:rPr>
        <w:t xml:space="preserve">using the quarterly Earnings Reports will produce </w:t>
      </w:r>
      <w:r w:rsidR="000A6B98">
        <w:rPr>
          <w:sz w:val="26"/>
          <w:szCs w:val="26"/>
        </w:rPr>
        <w:t xml:space="preserve">the </w:t>
      </w:r>
      <w:r w:rsidR="00421AC8">
        <w:rPr>
          <w:sz w:val="26"/>
          <w:szCs w:val="26"/>
        </w:rPr>
        <w:t xml:space="preserve">most </w:t>
      </w:r>
      <w:r w:rsidR="000A6B98">
        <w:rPr>
          <w:sz w:val="26"/>
          <w:szCs w:val="26"/>
        </w:rPr>
        <w:t xml:space="preserve">accurate and </w:t>
      </w:r>
      <w:r w:rsidR="00421AC8">
        <w:rPr>
          <w:sz w:val="26"/>
          <w:szCs w:val="26"/>
        </w:rPr>
        <w:t xml:space="preserve">up-to-date costs of capital for the companies related to the Plan.  </w:t>
      </w:r>
      <w:r w:rsidR="002A2232">
        <w:rPr>
          <w:sz w:val="26"/>
          <w:szCs w:val="26"/>
        </w:rPr>
        <w:t xml:space="preserve">The quarterly cost of debt and, where applicable, preferred stock, will be used in the Companies’ annual reconciliation and annual projections to determine the Companies’ weighted cost of capital.  </w:t>
      </w:r>
      <w:r w:rsidR="000A6B98">
        <w:rPr>
          <w:sz w:val="26"/>
          <w:szCs w:val="26"/>
        </w:rPr>
        <w:t xml:space="preserve">  </w:t>
      </w:r>
    </w:p>
    <w:p w:rsidR="000A6B98" w:rsidRDefault="000A6B98" w:rsidP="000A6B98">
      <w:pPr>
        <w:spacing w:line="360" w:lineRule="auto"/>
        <w:ind w:firstLine="1440"/>
        <w:rPr>
          <w:sz w:val="26"/>
          <w:szCs w:val="26"/>
        </w:rPr>
      </w:pPr>
    </w:p>
    <w:p w:rsidR="000A6B98" w:rsidRDefault="00421AC8" w:rsidP="000A6B98">
      <w:pPr>
        <w:spacing w:line="360" w:lineRule="auto"/>
        <w:ind w:firstLine="1440"/>
        <w:rPr>
          <w:sz w:val="26"/>
          <w:szCs w:val="26"/>
        </w:rPr>
      </w:pPr>
      <w:r>
        <w:rPr>
          <w:sz w:val="26"/>
          <w:szCs w:val="26"/>
        </w:rPr>
        <w:t>We note t</w:t>
      </w:r>
      <w:r w:rsidR="000A6B98">
        <w:rPr>
          <w:sz w:val="26"/>
          <w:szCs w:val="26"/>
        </w:rPr>
        <w:t>he Companies’ argument that neither the frequency nor the magnitude of changes in the weighted average cost rate of senior securities is likely to produce any material impact on the Companies’ overall cost of capit</w:t>
      </w:r>
      <w:r>
        <w:rPr>
          <w:sz w:val="26"/>
          <w:szCs w:val="26"/>
        </w:rPr>
        <w:t>al on a quarterly basis.</w:t>
      </w:r>
      <w:r w:rsidR="000A6B98">
        <w:rPr>
          <w:sz w:val="26"/>
          <w:szCs w:val="26"/>
        </w:rPr>
        <w:t xml:space="preserve">  However, w</w:t>
      </w:r>
      <w:r>
        <w:rPr>
          <w:sz w:val="26"/>
          <w:szCs w:val="26"/>
        </w:rPr>
        <w:t>hile we agree with the Companies</w:t>
      </w:r>
      <w:r w:rsidR="000A6B98">
        <w:rPr>
          <w:sz w:val="26"/>
          <w:szCs w:val="26"/>
        </w:rPr>
        <w:t xml:space="preserve"> regarding the potential impact, at </w:t>
      </w:r>
      <w:r w:rsidR="000A6B98">
        <w:rPr>
          <w:sz w:val="26"/>
          <w:szCs w:val="26"/>
        </w:rPr>
        <w:lastRenderedPageBreak/>
        <w:t>this time when there is no outstanding preferred stock, the inclusion of this component could, at some future time, represent a notable change in capital structure.  Additionally, since the actual current quarterly data regarding preferred stock and debt is available, this should be utilized as recommended by the OTS.  Accordingly, we shall reverse the ALJ’s recommendation and adopt the OTS’</w:t>
      </w:r>
      <w:r>
        <w:rPr>
          <w:sz w:val="26"/>
          <w:szCs w:val="26"/>
        </w:rPr>
        <w:t>s</w:t>
      </w:r>
      <w:r w:rsidR="000A6B98">
        <w:rPr>
          <w:sz w:val="26"/>
          <w:szCs w:val="26"/>
        </w:rPr>
        <w:t xml:space="preserve"> position on this issue. </w:t>
      </w:r>
    </w:p>
    <w:p w:rsidR="000A6B98" w:rsidRDefault="000A6B98" w:rsidP="00EB3313"/>
    <w:p w:rsidR="002F5812" w:rsidRPr="005F7DB5" w:rsidRDefault="00A117DD" w:rsidP="00A117DD">
      <w:pPr>
        <w:pStyle w:val="Heading4"/>
      </w:pPr>
      <w:bookmarkStart w:id="75" w:name="_Toc259798223"/>
      <w:bookmarkStart w:id="76" w:name="_Toc263848863"/>
      <w:r>
        <w:t>c</w:t>
      </w:r>
      <w:r w:rsidR="002F5812">
        <w:t>.</w:t>
      </w:r>
      <w:r w:rsidR="002F5812">
        <w:tab/>
      </w:r>
      <w:r>
        <w:t>Common E</w:t>
      </w:r>
      <w:r w:rsidR="002F5812" w:rsidRPr="005F7DB5">
        <w:t>quity</w:t>
      </w:r>
      <w:r>
        <w:t xml:space="preserve"> Cost Rate</w:t>
      </w:r>
      <w:bookmarkEnd w:id="75"/>
      <w:bookmarkEnd w:id="76"/>
    </w:p>
    <w:p w:rsidR="0039323E" w:rsidRDefault="0039323E" w:rsidP="002F5812">
      <w:pPr>
        <w:spacing w:line="360" w:lineRule="auto"/>
        <w:ind w:firstLine="2160"/>
        <w:rPr>
          <w:sz w:val="26"/>
          <w:szCs w:val="26"/>
        </w:rPr>
      </w:pPr>
    </w:p>
    <w:p w:rsidR="00EB3313" w:rsidRDefault="00EB3313" w:rsidP="00EB3313">
      <w:pPr>
        <w:pStyle w:val="Heading5"/>
      </w:pPr>
      <w:bookmarkStart w:id="77" w:name="_Toc263848864"/>
      <w:r>
        <w:t>1.</w:t>
      </w:r>
      <w:r>
        <w:tab/>
      </w:r>
      <w:r w:rsidR="00B55DC4">
        <w:t>FirstEnergy</w:t>
      </w:r>
      <w:r>
        <w:t>’s Plan</w:t>
      </w:r>
      <w:bookmarkEnd w:id="77"/>
    </w:p>
    <w:p w:rsidR="00EB3313" w:rsidRDefault="00EB3313" w:rsidP="00EB3313">
      <w:pPr>
        <w:spacing w:line="360" w:lineRule="auto"/>
        <w:ind w:firstLine="2160"/>
        <w:rPr>
          <w:sz w:val="26"/>
          <w:szCs w:val="26"/>
        </w:rPr>
      </w:pPr>
    </w:p>
    <w:p w:rsidR="00691B7B" w:rsidRDefault="00B55DC4" w:rsidP="00BD631C">
      <w:pPr>
        <w:spacing w:line="360" w:lineRule="auto"/>
        <w:ind w:firstLine="1440"/>
        <w:rPr>
          <w:sz w:val="26"/>
          <w:szCs w:val="26"/>
        </w:rPr>
      </w:pPr>
      <w:r>
        <w:rPr>
          <w:sz w:val="26"/>
          <w:szCs w:val="26"/>
        </w:rPr>
        <w:t>FirstEnergy</w:t>
      </w:r>
      <w:r w:rsidR="005C06C8">
        <w:rPr>
          <w:sz w:val="26"/>
          <w:szCs w:val="26"/>
        </w:rPr>
        <w:t xml:space="preserve"> </w:t>
      </w:r>
      <w:r w:rsidR="00BD631C">
        <w:rPr>
          <w:sz w:val="26"/>
          <w:szCs w:val="26"/>
        </w:rPr>
        <w:t xml:space="preserve">proposed </w:t>
      </w:r>
      <w:r w:rsidR="005C06C8">
        <w:rPr>
          <w:sz w:val="26"/>
          <w:szCs w:val="26"/>
        </w:rPr>
        <w:t>using</w:t>
      </w:r>
      <w:r w:rsidR="00BD631C">
        <w:rPr>
          <w:sz w:val="26"/>
          <w:szCs w:val="26"/>
        </w:rPr>
        <w:t xml:space="preserve"> </w:t>
      </w:r>
      <w:r w:rsidR="005C06C8">
        <w:rPr>
          <w:sz w:val="26"/>
          <w:szCs w:val="26"/>
        </w:rPr>
        <w:t xml:space="preserve">a company-specific cost of common equity.  Specifically, </w:t>
      </w:r>
      <w:r>
        <w:rPr>
          <w:sz w:val="26"/>
          <w:szCs w:val="26"/>
        </w:rPr>
        <w:t>FirstEnergy</w:t>
      </w:r>
      <w:r w:rsidR="00691B7B">
        <w:rPr>
          <w:sz w:val="26"/>
          <w:szCs w:val="26"/>
        </w:rPr>
        <w:t xml:space="preserve"> proposed using </w:t>
      </w:r>
      <w:r w:rsidR="00BD631C">
        <w:rPr>
          <w:sz w:val="26"/>
          <w:szCs w:val="26"/>
        </w:rPr>
        <w:t>the cost of equity adopted by the Commission in the last base rate case</w:t>
      </w:r>
      <w:r w:rsidR="00691B7B">
        <w:rPr>
          <w:sz w:val="26"/>
          <w:szCs w:val="26"/>
        </w:rPr>
        <w:t xml:space="preserve"> for </w:t>
      </w:r>
      <w:r>
        <w:rPr>
          <w:sz w:val="26"/>
          <w:szCs w:val="26"/>
        </w:rPr>
        <w:t>Met-Ed</w:t>
      </w:r>
      <w:r w:rsidR="00691B7B">
        <w:rPr>
          <w:sz w:val="26"/>
          <w:szCs w:val="26"/>
        </w:rPr>
        <w:t xml:space="preserve"> and Penelec (10.1%),</w:t>
      </w:r>
      <w:r w:rsidR="001A5D20">
        <w:rPr>
          <w:sz w:val="26"/>
          <w:szCs w:val="26"/>
        </w:rPr>
        <w:t xml:space="preserve"> </w:t>
      </w:r>
      <w:r w:rsidR="00BD631C">
        <w:rPr>
          <w:sz w:val="26"/>
          <w:szCs w:val="26"/>
        </w:rPr>
        <w:t xml:space="preserve">until an updated cost of equity finding is made in a future </w:t>
      </w:r>
      <w:r>
        <w:rPr>
          <w:sz w:val="26"/>
          <w:szCs w:val="26"/>
        </w:rPr>
        <w:t>Met-Ed</w:t>
      </w:r>
      <w:r w:rsidR="00BD631C">
        <w:rPr>
          <w:sz w:val="26"/>
          <w:szCs w:val="26"/>
        </w:rPr>
        <w:t xml:space="preserve">, Penelec or Penn Power base rate proceeding.  </w:t>
      </w:r>
      <w:r>
        <w:rPr>
          <w:sz w:val="26"/>
          <w:szCs w:val="26"/>
        </w:rPr>
        <w:t>FirstEnergy</w:t>
      </w:r>
      <w:r w:rsidR="00691B7B">
        <w:rPr>
          <w:sz w:val="26"/>
          <w:szCs w:val="26"/>
        </w:rPr>
        <w:t xml:space="preserve"> MB at 10.</w:t>
      </w:r>
    </w:p>
    <w:p w:rsidR="00691B7B" w:rsidRDefault="00691B7B" w:rsidP="00BD631C">
      <w:pPr>
        <w:spacing w:line="360" w:lineRule="auto"/>
        <w:ind w:firstLine="1440"/>
        <w:rPr>
          <w:sz w:val="26"/>
          <w:szCs w:val="26"/>
        </w:rPr>
      </w:pPr>
    </w:p>
    <w:p w:rsidR="008F4F8F" w:rsidRDefault="008F4F8F" w:rsidP="008F4F8F">
      <w:pPr>
        <w:spacing w:line="360" w:lineRule="auto"/>
        <w:ind w:firstLine="1440"/>
        <w:rPr>
          <w:sz w:val="26"/>
          <w:szCs w:val="26"/>
        </w:rPr>
      </w:pPr>
      <w:r>
        <w:rPr>
          <w:sz w:val="26"/>
          <w:szCs w:val="26"/>
        </w:rPr>
        <w:t>The OTS argued that the Commission should not use a co</w:t>
      </w:r>
      <w:r w:rsidR="00BF74B2">
        <w:rPr>
          <w:sz w:val="26"/>
          <w:szCs w:val="26"/>
        </w:rPr>
        <w:t>mpany-specific cost of common equity</w:t>
      </w:r>
      <w:r>
        <w:rPr>
          <w:sz w:val="26"/>
          <w:szCs w:val="26"/>
        </w:rPr>
        <w:t xml:space="preserve">.  Instead, the OTS argued that the Commission </w:t>
      </w:r>
      <w:r w:rsidR="00900E3A">
        <w:rPr>
          <w:sz w:val="26"/>
          <w:szCs w:val="26"/>
        </w:rPr>
        <w:t xml:space="preserve">should use the same </w:t>
      </w:r>
      <w:r w:rsidR="00BF74B2">
        <w:rPr>
          <w:sz w:val="26"/>
          <w:szCs w:val="26"/>
        </w:rPr>
        <w:t xml:space="preserve">cost of common equity </w:t>
      </w:r>
      <w:r>
        <w:rPr>
          <w:sz w:val="26"/>
          <w:szCs w:val="26"/>
        </w:rPr>
        <w:t xml:space="preserve">for all EDCs that are required to file a smart meter plan with the Commission.  This </w:t>
      </w:r>
      <w:r w:rsidR="00900E3A">
        <w:rPr>
          <w:sz w:val="26"/>
          <w:szCs w:val="26"/>
        </w:rPr>
        <w:t xml:space="preserve">cost of common equity </w:t>
      </w:r>
      <w:r>
        <w:rPr>
          <w:sz w:val="26"/>
          <w:szCs w:val="26"/>
        </w:rPr>
        <w:t xml:space="preserve">would be based on </w:t>
      </w:r>
      <w:r w:rsidR="00FC7435">
        <w:rPr>
          <w:sz w:val="26"/>
          <w:szCs w:val="26"/>
        </w:rPr>
        <w:t xml:space="preserve">the </w:t>
      </w:r>
      <w:r>
        <w:rPr>
          <w:sz w:val="26"/>
          <w:szCs w:val="26"/>
        </w:rPr>
        <w:t>barometer group</w:t>
      </w:r>
      <w:r w:rsidR="00FC7435">
        <w:rPr>
          <w:sz w:val="26"/>
          <w:szCs w:val="26"/>
        </w:rPr>
        <w:t xml:space="preserve"> included in the Quarterly Earnings Report</w:t>
      </w:r>
      <w:r w:rsidR="00900E3A">
        <w:rPr>
          <w:sz w:val="26"/>
          <w:szCs w:val="26"/>
        </w:rPr>
        <w:t xml:space="preserve">. </w:t>
      </w:r>
      <w:r w:rsidR="0094191E">
        <w:rPr>
          <w:sz w:val="26"/>
          <w:szCs w:val="26"/>
        </w:rPr>
        <w:t xml:space="preserve"> </w:t>
      </w:r>
      <w:r w:rsidR="00C526FB">
        <w:rPr>
          <w:sz w:val="26"/>
          <w:szCs w:val="26"/>
        </w:rPr>
        <w:t>As support for its proposal, t</w:t>
      </w:r>
      <w:r w:rsidR="0094191E">
        <w:rPr>
          <w:sz w:val="26"/>
          <w:szCs w:val="26"/>
        </w:rPr>
        <w:t xml:space="preserve">he OTS </w:t>
      </w:r>
      <w:r w:rsidR="000C2D45">
        <w:rPr>
          <w:sz w:val="26"/>
          <w:szCs w:val="26"/>
        </w:rPr>
        <w:t xml:space="preserve">noted that this approach is used in </w:t>
      </w:r>
      <w:r w:rsidR="00C526FB">
        <w:rPr>
          <w:sz w:val="26"/>
          <w:szCs w:val="26"/>
        </w:rPr>
        <w:t>distribution system improvement charge (</w:t>
      </w:r>
      <w:r w:rsidR="000C2D45">
        <w:rPr>
          <w:sz w:val="26"/>
          <w:szCs w:val="26"/>
        </w:rPr>
        <w:t>DSIC</w:t>
      </w:r>
      <w:r w:rsidR="00C526FB">
        <w:rPr>
          <w:sz w:val="26"/>
          <w:szCs w:val="26"/>
        </w:rPr>
        <w:t>)</w:t>
      </w:r>
      <w:r w:rsidR="000C2D45">
        <w:rPr>
          <w:sz w:val="26"/>
          <w:szCs w:val="26"/>
        </w:rPr>
        <w:t xml:space="preserve"> proceedings in the water industry.</w:t>
      </w:r>
      <w:r w:rsidR="00900E3A">
        <w:rPr>
          <w:sz w:val="26"/>
          <w:szCs w:val="26"/>
        </w:rPr>
        <w:t xml:space="preserve"> OTS MB</w:t>
      </w:r>
      <w:r w:rsidR="0094191E">
        <w:rPr>
          <w:sz w:val="26"/>
          <w:szCs w:val="26"/>
        </w:rPr>
        <w:t xml:space="preserve"> 16-17.</w:t>
      </w:r>
      <w:r w:rsidR="00900E3A">
        <w:rPr>
          <w:sz w:val="26"/>
          <w:szCs w:val="26"/>
        </w:rPr>
        <w:t xml:space="preserve"> </w:t>
      </w:r>
      <w:r>
        <w:rPr>
          <w:sz w:val="26"/>
          <w:szCs w:val="26"/>
        </w:rPr>
        <w:t xml:space="preserve">  </w:t>
      </w:r>
    </w:p>
    <w:p w:rsidR="00BD631C" w:rsidRDefault="00BD631C" w:rsidP="00BD631C">
      <w:pPr>
        <w:spacing w:line="360" w:lineRule="auto"/>
        <w:ind w:firstLine="1440"/>
        <w:rPr>
          <w:sz w:val="26"/>
          <w:szCs w:val="26"/>
        </w:rPr>
      </w:pPr>
    </w:p>
    <w:p w:rsidR="00EB3313" w:rsidRDefault="00EB3313" w:rsidP="00EB3313">
      <w:pPr>
        <w:pStyle w:val="Heading5"/>
      </w:pPr>
      <w:bookmarkStart w:id="78" w:name="_Toc263848865"/>
      <w:r>
        <w:t>2.</w:t>
      </w:r>
      <w:r>
        <w:tab/>
        <w:t>ALJ’s Recommendation</w:t>
      </w:r>
      <w:bookmarkEnd w:id="78"/>
    </w:p>
    <w:p w:rsidR="00EB3313" w:rsidRDefault="00EB3313" w:rsidP="00EB3313">
      <w:pPr>
        <w:spacing w:line="360" w:lineRule="auto"/>
        <w:ind w:firstLine="2160"/>
        <w:rPr>
          <w:sz w:val="26"/>
          <w:szCs w:val="26"/>
        </w:rPr>
      </w:pPr>
    </w:p>
    <w:p w:rsidR="00C526FB" w:rsidRDefault="003A04A0" w:rsidP="003A04A0">
      <w:pPr>
        <w:spacing w:line="360" w:lineRule="auto"/>
        <w:ind w:firstLine="1440"/>
        <w:rPr>
          <w:sz w:val="26"/>
          <w:szCs w:val="26"/>
        </w:rPr>
      </w:pPr>
      <w:r>
        <w:rPr>
          <w:sz w:val="26"/>
          <w:szCs w:val="26"/>
        </w:rPr>
        <w:t xml:space="preserve">The ALJ approved </w:t>
      </w:r>
      <w:r w:rsidR="00B55DC4">
        <w:rPr>
          <w:sz w:val="26"/>
          <w:szCs w:val="26"/>
        </w:rPr>
        <w:t>FirstEnergy</w:t>
      </w:r>
      <w:r>
        <w:rPr>
          <w:sz w:val="26"/>
          <w:szCs w:val="26"/>
        </w:rPr>
        <w:t xml:space="preserve">’s proposal to use company-specific data to calculate the cost of common equity.  The ALJ found </w:t>
      </w:r>
      <w:r w:rsidR="006A02A9">
        <w:rPr>
          <w:sz w:val="26"/>
          <w:szCs w:val="26"/>
        </w:rPr>
        <w:t>“</w:t>
      </w:r>
      <w:r>
        <w:rPr>
          <w:sz w:val="26"/>
          <w:szCs w:val="26"/>
        </w:rPr>
        <w:t>no persu</w:t>
      </w:r>
      <w:r w:rsidR="006A02A9">
        <w:rPr>
          <w:sz w:val="26"/>
          <w:szCs w:val="26"/>
        </w:rPr>
        <w:t xml:space="preserve">asive precedent” for using </w:t>
      </w:r>
      <w:r w:rsidR="006A02A9">
        <w:rPr>
          <w:sz w:val="26"/>
          <w:szCs w:val="26"/>
        </w:rPr>
        <w:lastRenderedPageBreak/>
        <w:t xml:space="preserve">a barometer group to calculate the cost of common equity.  In addition, the ALJ found the Companies’ approach reasonable.  </w:t>
      </w:r>
      <w:r>
        <w:rPr>
          <w:sz w:val="26"/>
          <w:szCs w:val="26"/>
        </w:rPr>
        <w:t>I</w:t>
      </w:r>
      <w:r w:rsidR="007C4A07">
        <w:rPr>
          <w:sz w:val="26"/>
          <w:szCs w:val="26"/>
        </w:rPr>
        <w:t>.</w:t>
      </w:r>
      <w:r>
        <w:rPr>
          <w:sz w:val="26"/>
          <w:szCs w:val="26"/>
        </w:rPr>
        <w:t>D</w:t>
      </w:r>
      <w:r w:rsidR="007C4A07">
        <w:rPr>
          <w:sz w:val="26"/>
          <w:szCs w:val="26"/>
        </w:rPr>
        <w:t>.</w:t>
      </w:r>
      <w:r>
        <w:rPr>
          <w:sz w:val="26"/>
          <w:szCs w:val="26"/>
        </w:rPr>
        <w:t xml:space="preserve"> </w:t>
      </w:r>
      <w:r w:rsidR="006A02A9">
        <w:rPr>
          <w:sz w:val="26"/>
          <w:szCs w:val="26"/>
        </w:rPr>
        <w:t>at 37-38.</w:t>
      </w:r>
      <w:r>
        <w:rPr>
          <w:sz w:val="26"/>
          <w:szCs w:val="26"/>
        </w:rPr>
        <w:t xml:space="preserve">   </w:t>
      </w:r>
    </w:p>
    <w:p w:rsidR="00C526FB" w:rsidRDefault="00C526FB" w:rsidP="00EB3313">
      <w:pPr>
        <w:spacing w:line="360" w:lineRule="auto"/>
        <w:ind w:firstLine="2160"/>
        <w:rPr>
          <w:sz w:val="26"/>
          <w:szCs w:val="26"/>
        </w:rPr>
      </w:pPr>
    </w:p>
    <w:p w:rsidR="00EB3313" w:rsidRDefault="00EB3313" w:rsidP="00EB3313">
      <w:pPr>
        <w:pStyle w:val="Heading5"/>
      </w:pPr>
      <w:bookmarkStart w:id="79" w:name="_Toc263848866"/>
      <w:r>
        <w:t>3.</w:t>
      </w:r>
      <w:r>
        <w:tab/>
        <w:t>Positions of the Parties</w:t>
      </w:r>
      <w:bookmarkEnd w:id="79"/>
    </w:p>
    <w:p w:rsidR="00EB3313" w:rsidRDefault="00EB3313" w:rsidP="00EB3313"/>
    <w:p w:rsidR="00713EC3" w:rsidRDefault="00FC7435" w:rsidP="0047609C">
      <w:pPr>
        <w:spacing w:line="360" w:lineRule="auto"/>
        <w:ind w:firstLine="1440"/>
        <w:rPr>
          <w:sz w:val="26"/>
          <w:szCs w:val="26"/>
        </w:rPr>
      </w:pPr>
      <w:r>
        <w:rPr>
          <w:sz w:val="26"/>
          <w:szCs w:val="26"/>
        </w:rPr>
        <w:t>T</w:t>
      </w:r>
      <w:r w:rsidR="001F0B97">
        <w:rPr>
          <w:sz w:val="26"/>
          <w:szCs w:val="26"/>
        </w:rPr>
        <w:t>he OTS</w:t>
      </w:r>
      <w:r w:rsidR="009B337B">
        <w:rPr>
          <w:sz w:val="26"/>
          <w:szCs w:val="26"/>
        </w:rPr>
        <w:t xml:space="preserve"> continues to </w:t>
      </w:r>
      <w:r w:rsidR="003B31F4">
        <w:rPr>
          <w:sz w:val="26"/>
          <w:szCs w:val="26"/>
        </w:rPr>
        <w:t xml:space="preserve">recommend “the use of a Commission staff calculated cost rate of common equity for the electric industry as presented in the </w:t>
      </w:r>
      <w:r w:rsidR="009B337B">
        <w:rPr>
          <w:sz w:val="26"/>
          <w:szCs w:val="26"/>
        </w:rPr>
        <w:t>Q</w:t>
      </w:r>
      <w:r w:rsidR="00230E2A">
        <w:rPr>
          <w:sz w:val="26"/>
          <w:szCs w:val="26"/>
        </w:rPr>
        <w:t xml:space="preserve">uarterly </w:t>
      </w:r>
      <w:r w:rsidR="009B337B">
        <w:rPr>
          <w:sz w:val="26"/>
          <w:szCs w:val="26"/>
        </w:rPr>
        <w:t>E</w:t>
      </w:r>
      <w:r w:rsidR="00230E2A">
        <w:rPr>
          <w:sz w:val="26"/>
          <w:szCs w:val="26"/>
        </w:rPr>
        <w:t xml:space="preserve">arnings </w:t>
      </w:r>
      <w:r w:rsidR="009B337B">
        <w:rPr>
          <w:sz w:val="26"/>
          <w:szCs w:val="26"/>
        </w:rPr>
        <w:t>R</w:t>
      </w:r>
      <w:r w:rsidR="00230E2A">
        <w:rPr>
          <w:sz w:val="26"/>
          <w:szCs w:val="26"/>
        </w:rPr>
        <w:t>eport.</w:t>
      </w:r>
      <w:r w:rsidR="003B31F4">
        <w:rPr>
          <w:sz w:val="26"/>
          <w:szCs w:val="26"/>
        </w:rPr>
        <w:t>”</w:t>
      </w:r>
      <w:r w:rsidR="00A514C6">
        <w:rPr>
          <w:sz w:val="26"/>
          <w:szCs w:val="26"/>
        </w:rPr>
        <w:t xml:space="preserve">  OTS Exc. at 19-20.  This approach would be consistent with </w:t>
      </w:r>
      <w:r w:rsidR="00187D4A">
        <w:rPr>
          <w:sz w:val="26"/>
          <w:szCs w:val="26"/>
        </w:rPr>
        <w:t xml:space="preserve">the </w:t>
      </w:r>
      <w:r w:rsidR="00A514C6">
        <w:rPr>
          <w:sz w:val="26"/>
          <w:szCs w:val="26"/>
        </w:rPr>
        <w:t>OTS’s proposal to use a barometer group to determine the capital structure</w:t>
      </w:r>
      <w:r w:rsidR="0055022E">
        <w:rPr>
          <w:sz w:val="26"/>
          <w:szCs w:val="26"/>
        </w:rPr>
        <w:t xml:space="preserve"> of all EDCs that are required to submit a smart meter plan</w:t>
      </w:r>
      <w:r w:rsidR="00A514C6">
        <w:rPr>
          <w:sz w:val="26"/>
          <w:szCs w:val="26"/>
        </w:rPr>
        <w:t>.</w:t>
      </w:r>
      <w:r w:rsidR="00230E2A">
        <w:rPr>
          <w:sz w:val="26"/>
          <w:szCs w:val="26"/>
        </w:rPr>
        <w:t xml:space="preserve"> </w:t>
      </w:r>
      <w:r w:rsidR="00535045">
        <w:rPr>
          <w:sz w:val="26"/>
          <w:szCs w:val="26"/>
        </w:rPr>
        <w:t xml:space="preserve"> </w:t>
      </w:r>
      <w:r w:rsidR="00713EC3">
        <w:rPr>
          <w:sz w:val="26"/>
          <w:szCs w:val="26"/>
        </w:rPr>
        <w:t xml:space="preserve">As a result, </w:t>
      </w:r>
      <w:r w:rsidR="00535045">
        <w:rPr>
          <w:sz w:val="26"/>
          <w:szCs w:val="26"/>
        </w:rPr>
        <w:t xml:space="preserve">the </w:t>
      </w:r>
      <w:r w:rsidR="00713EC3">
        <w:rPr>
          <w:sz w:val="26"/>
          <w:szCs w:val="26"/>
        </w:rPr>
        <w:t xml:space="preserve">OTS argues, the cost of common equity would be properly matched with the financial risk associated with the capital structure.  </w:t>
      </w:r>
      <w:r w:rsidR="00713EC3" w:rsidRPr="00713EC3">
        <w:rPr>
          <w:i/>
          <w:sz w:val="26"/>
          <w:szCs w:val="26"/>
        </w:rPr>
        <w:t>Id</w:t>
      </w:r>
      <w:r w:rsidR="00713EC3">
        <w:rPr>
          <w:sz w:val="26"/>
          <w:szCs w:val="26"/>
        </w:rPr>
        <w:t>. at 20, n. 12.</w:t>
      </w:r>
    </w:p>
    <w:p w:rsidR="00713EC3" w:rsidRDefault="00713EC3" w:rsidP="0047609C">
      <w:pPr>
        <w:spacing w:line="360" w:lineRule="auto"/>
        <w:ind w:firstLine="1440"/>
        <w:rPr>
          <w:sz w:val="26"/>
          <w:szCs w:val="26"/>
        </w:rPr>
      </w:pPr>
    </w:p>
    <w:p w:rsidR="00DD6837" w:rsidRDefault="00187D4A" w:rsidP="0047609C">
      <w:pPr>
        <w:spacing w:line="360" w:lineRule="auto"/>
        <w:ind w:firstLine="1440"/>
        <w:rPr>
          <w:sz w:val="26"/>
          <w:szCs w:val="26"/>
        </w:rPr>
      </w:pPr>
      <w:r>
        <w:rPr>
          <w:sz w:val="26"/>
          <w:szCs w:val="26"/>
        </w:rPr>
        <w:t xml:space="preserve">In addition, the </w:t>
      </w:r>
      <w:r w:rsidR="00535045">
        <w:rPr>
          <w:sz w:val="26"/>
          <w:szCs w:val="26"/>
        </w:rPr>
        <w:t>OTS notes that Act 129 permits</w:t>
      </w:r>
      <w:r>
        <w:rPr>
          <w:sz w:val="26"/>
          <w:szCs w:val="26"/>
        </w:rPr>
        <w:t xml:space="preserve"> EDCs to recover smart meter technology costs through base rates or through a reconcilable automatic adjustment clause.  </w:t>
      </w:r>
      <w:r w:rsidR="004A3F2F">
        <w:rPr>
          <w:sz w:val="26"/>
          <w:szCs w:val="26"/>
        </w:rPr>
        <w:t xml:space="preserve">66 Pa. C.S. § 2807(f)(7).  The Companies selected the quicker and simpler </w:t>
      </w:r>
      <w:r w:rsidR="004069CB">
        <w:rPr>
          <w:sz w:val="26"/>
          <w:szCs w:val="26"/>
        </w:rPr>
        <w:t xml:space="preserve">funding mechanism of a reconcilable automatic adjustment.  </w:t>
      </w:r>
      <w:r w:rsidR="004A3F2F">
        <w:rPr>
          <w:sz w:val="26"/>
          <w:szCs w:val="26"/>
        </w:rPr>
        <w:t xml:space="preserve">The OTS argues that its approach is </w:t>
      </w:r>
      <w:r w:rsidR="00F35C1C">
        <w:rPr>
          <w:sz w:val="26"/>
          <w:szCs w:val="26"/>
        </w:rPr>
        <w:t xml:space="preserve">consistent with this choice because it is </w:t>
      </w:r>
      <w:r w:rsidR="004A3F2F">
        <w:rPr>
          <w:sz w:val="26"/>
          <w:szCs w:val="26"/>
        </w:rPr>
        <w:t>simpler and more equitable than</w:t>
      </w:r>
      <w:r w:rsidR="004069CB">
        <w:rPr>
          <w:sz w:val="26"/>
          <w:szCs w:val="26"/>
        </w:rPr>
        <w:t xml:space="preserve"> th</w:t>
      </w:r>
      <w:r w:rsidR="004A3F2F">
        <w:rPr>
          <w:sz w:val="26"/>
          <w:szCs w:val="26"/>
        </w:rPr>
        <w:t>e</w:t>
      </w:r>
      <w:r w:rsidR="003B03BD">
        <w:rPr>
          <w:sz w:val="26"/>
          <w:szCs w:val="26"/>
        </w:rPr>
        <w:t xml:space="preserve"> approach advocated by the Companies.  OTS Exc. at 20.</w:t>
      </w:r>
    </w:p>
    <w:p w:rsidR="00DD6837" w:rsidRDefault="00DD6837" w:rsidP="0047609C">
      <w:pPr>
        <w:spacing w:line="360" w:lineRule="auto"/>
        <w:ind w:firstLine="1440"/>
        <w:rPr>
          <w:sz w:val="26"/>
          <w:szCs w:val="26"/>
        </w:rPr>
      </w:pPr>
    </w:p>
    <w:p w:rsidR="007B4335" w:rsidRDefault="00F35C1C" w:rsidP="0047609C">
      <w:pPr>
        <w:spacing w:line="360" w:lineRule="auto"/>
        <w:ind w:firstLine="1440"/>
        <w:rPr>
          <w:sz w:val="26"/>
          <w:szCs w:val="26"/>
        </w:rPr>
      </w:pPr>
      <w:r>
        <w:rPr>
          <w:sz w:val="26"/>
          <w:szCs w:val="26"/>
        </w:rPr>
        <w:t>The Companies argue that their currently-authorized 10.1% equity return rate is a better proxy for their current cost of equity than a generic figure derived from a barometer group.</w:t>
      </w:r>
      <w:r w:rsidR="007B4335">
        <w:rPr>
          <w:sz w:val="26"/>
          <w:szCs w:val="26"/>
        </w:rPr>
        <w:t xml:space="preserve">  According to </w:t>
      </w:r>
      <w:r w:rsidR="00B55DC4">
        <w:rPr>
          <w:sz w:val="26"/>
          <w:szCs w:val="26"/>
        </w:rPr>
        <w:t>FirstEnergy</w:t>
      </w:r>
      <w:r w:rsidR="007B4335">
        <w:rPr>
          <w:sz w:val="26"/>
          <w:szCs w:val="26"/>
        </w:rPr>
        <w:t xml:space="preserve">, the companies in the barometer group may not </w:t>
      </w:r>
      <w:r w:rsidR="0081499B">
        <w:rPr>
          <w:sz w:val="26"/>
          <w:szCs w:val="26"/>
        </w:rPr>
        <w:t xml:space="preserve">have </w:t>
      </w:r>
      <w:r w:rsidR="007B4335">
        <w:rPr>
          <w:sz w:val="26"/>
          <w:szCs w:val="26"/>
        </w:rPr>
        <w:t xml:space="preserve">the same business risks as do the three </w:t>
      </w:r>
      <w:r w:rsidR="00B55DC4">
        <w:rPr>
          <w:sz w:val="26"/>
          <w:szCs w:val="26"/>
        </w:rPr>
        <w:t>FirstEnergy</w:t>
      </w:r>
      <w:r w:rsidR="007B4335">
        <w:rPr>
          <w:sz w:val="26"/>
          <w:szCs w:val="26"/>
        </w:rPr>
        <w:t xml:space="preserve"> Companies.  </w:t>
      </w:r>
      <w:r w:rsidR="00B55DC4">
        <w:rPr>
          <w:sz w:val="26"/>
          <w:szCs w:val="26"/>
        </w:rPr>
        <w:t>FirstEnergy</w:t>
      </w:r>
      <w:r w:rsidR="0081499B">
        <w:rPr>
          <w:sz w:val="26"/>
          <w:szCs w:val="26"/>
        </w:rPr>
        <w:t xml:space="preserve"> R.Exc. at 14-15.</w:t>
      </w:r>
    </w:p>
    <w:p w:rsidR="007B4335" w:rsidRDefault="007B4335" w:rsidP="0047609C">
      <w:pPr>
        <w:spacing w:line="360" w:lineRule="auto"/>
        <w:ind w:firstLine="1440"/>
        <w:rPr>
          <w:sz w:val="26"/>
          <w:szCs w:val="26"/>
        </w:rPr>
      </w:pPr>
    </w:p>
    <w:p w:rsidR="00ED3CF7" w:rsidRDefault="007B4335" w:rsidP="0047609C">
      <w:pPr>
        <w:spacing w:line="360" w:lineRule="auto"/>
        <w:ind w:firstLine="1440"/>
        <w:rPr>
          <w:sz w:val="26"/>
          <w:szCs w:val="26"/>
        </w:rPr>
      </w:pPr>
      <w:r>
        <w:rPr>
          <w:sz w:val="26"/>
          <w:szCs w:val="26"/>
        </w:rPr>
        <w:t xml:space="preserve">In addition, the Companies note that DSIC proceedings only use a generic equity return rate when more than two years have passed since the rate decision in the pertinent company’s last base rate case.  </w:t>
      </w:r>
      <w:r w:rsidR="0081499B">
        <w:rPr>
          <w:sz w:val="26"/>
          <w:szCs w:val="26"/>
        </w:rPr>
        <w:t xml:space="preserve">“Unlike electric utilities, many water utilities file </w:t>
      </w:r>
      <w:r w:rsidR="0081499B">
        <w:rPr>
          <w:sz w:val="26"/>
          <w:szCs w:val="26"/>
        </w:rPr>
        <w:lastRenderedPageBreak/>
        <w:t>base rate cases on a two-year cycle, thus allowing them to go for extended periods without hav</w:t>
      </w:r>
      <w:r w:rsidR="00535045">
        <w:rPr>
          <w:sz w:val="26"/>
          <w:szCs w:val="26"/>
        </w:rPr>
        <w:t>ing to utilize the FUS</w:t>
      </w:r>
      <w:r w:rsidR="0081499B">
        <w:rPr>
          <w:sz w:val="26"/>
          <w:szCs w:val="26"/>
        </w:rPr>
        <w:t xml:space="preserve"> ‘generic’ return rate in their DSIC calculations.”  </w:t>
      </w:r>
      <w:r w:rsidR="0081499B" w:rsidRPr="0081499B">
        <w:rPr>
          <w:i/>
          <w:sz w:val="26"/>
          <w:szCs w:val="26"/>
        </w:rPr>
        <w:t>Id</w:t>
      </w:r>
      <w:r w:rsidR="0081499B">
        <w:rPr>
          <w:sz w:val="26"/>
          <w:szCs w:val="26"/>
        </w:rPr>
        <w:t>. at 15.</w:t>
      </w:r>
    </w:p>
    <w:p w:rsidR="00ED3CF7" w:rsidRDefault="00ED3CF7" w:rsidP="0047609C">
      <w:pPr>
        <w:spacing w:line="360" w:lineRule="auto"/>
        <w:ind w:firstLine="1440"/>
        <w:rPr>
          <w:sz w:val="26"/>
          <w:szCs w:val="26"/>
        </w:rPr>
      </w:pPr>
    </w:p>
    <w:p w:rsidR="0047609C" w:rsidRDefault="00ED3CF7" w:rsidP="0047609C">
      <w:pPr>
        <w:spacing w:line="360" w:lineRule="auto"/>
        <w:ind w:firstLine="1440"/>
        <w:rPr>
          <w:sz w:val="26"/>
          <w:szCs w:val="26"/>
        </w:rPr>
      </w:pPr>
      <w:r>
        <w:rPr>
          <w:sz w:val="26"/>
          <w:szCs w:val="26"/>
        </w:rPr>
        <w:t xml:space="preserve">The Companies urge the Commission to affirm the ALJ’s decision.  If, however, the Commission chooses to </w:t>
      </w:r>
      <w:r w:rsidR="00D134EB">
        <w:rPr>
          <w:sz w:val="26"/>
          <w:szCs w:val="26"/>
        </w:rPr>
        <w:t xml:space="preserve">use a generic equity cost rate, the Companies argue that the Commission should do so through a rule-making proceeding.  </w:t>
      </w:r>
      <w:r w:rsidR="00D134EB" w:rsidRPr="00D134EB">
        <w:rPr>
          <w:i/>
          <w:sz w:val="26"/>
          <w:szCs w:val="26"/>
        </w:rPr>
        <w:t>Id</w:t>
      </w:r>
      <w:r w:rsidR="00D134EB">
        <w:rPr>
          <w:sz w:val="26"/>
          <w:szCs w:val="26"/>
        </w:rPr>
        <w:t>. at 16.</w:t>
      </w:r>
      <w:r w:rsidR="007B4335">
        <w:rPr>
          <w:sz w:val="26"/>
          <w:szCs w:val="26"/>
        </w:rPr>
        <w:t xml:space="preserve"> </w:t>
      </w:r>
      <w:r w:rsidR="004A3F2F">
        <w:rPr>
          <w:sz w:val="26"/>
          <w:szCs w:val="26"/>
        </w:rPr>
        <w:t xml:space="preserve">   </w:t>
      </w:r>
      <w:r w:rsidR="00187D4A">
        <w:rPr>
          <w:sz w:val="26"/>
          <w:szCs w:val="26"/>
        </w:rPr>
        <w:t xml:space="preserve"> </w:t>
      </w:r>
      <w:r w:rsidR="00230E2A">
        <w:rPr>
          <w:sz w:val="26"/>
          <w:szCs w:val="26"/>
        </w:rPr>
        <w:t xml:space="preserve"> </w:t>
      </w:r>
      <w:r w:rsidR="001F0B97">
        <w:rPr>
          <w:sz w:val="26"/>
          <w:szCs w:val="26"/>
        </w:rPr>
        <w:t xml:space="preserve"> </w:t>
      </w:r>
    </w:p>
    <w:p w:rsidR="0047609C" w:rsidRDefault="0047609C" w:rsidP="0047609C">
      <w:pPr>
        <w:spacing w:line="360" w:lineRule="auto"/>
        <w:ind w:firstLine="1440"/>
        <w:rPr>
          <w:sz w:val="26"/>
          <w:szCs w:val="26"/>
        </w:rPr>
      </w:pPr>
    </w:p>
    <w:p w:rsidR="0047609C" w:rsidRDefault="0047609C" w:rsidP="0047609C">
      <w:pPr>
        <w:spacing w:line="360" w:lineRule="auto"/>
        <w:ind w:firstLine="1440"/>
        <w:rPr>
          <w:sz w:val="26"/>
          <w:szCs w:val="26"/>
        </w:rPr>
      </w:pPr>
      <w:r>
        <w:rPr>
          <w:sz w:val="26"/>
          <w:szCs w:val="26"/>
        </w:rPr>
        <w:t xml:space="preserve">No other Party addressed this aspect of the Initial Decision. </w:t>
      </w:r>
    </w:p>
    <w:p w:rsidR="0047609C" w:rsidRDefault="0047609C" w:rsidP="00EB3313"/>
    <w:p w:rsidR="00EB3313" w:rsidRDefault="00EB3313" w:rsidP="00EB3313">
      <w:pPr>
        <w:pStyle w:val="Heading5"/>
      </w:pPr>
      <w:bookmarkStart w:id="80" w:name="_Toc263848867"/>
      <w:r>
        <w:t>4.</w:t>
      </w:r>
      <w:r>
        <w:tab/>
        <w:t>Disposition</w:t>
      </w:r>
      <w:bookmarkEnd w:id="80"/>
    </w:p>
    <w:p w:rsidR="000A6B98" w:rsidRDefault="000A6B98" w:rsidP="000A6B98">
      <w:pPr>
        <w:spacing w:line="360" w:lineRule="auto"/>
        <w:ind w:firstLine="1440"/>
        <w:rPr>
          <w:sz w:val="26"/>
          <w:szCs w:val="26"/>
        </w:rPr>
      </w:pPr>
    </w:p>
    <w:p w:rsidR="00B82E20" w:rsidRDefault="000A6B98" w:rsidP="000A6B98">
      <w:pPr>
        <w:spacing w:line="360" w:lineRule="auto"/>
        <w:ind w:firstLine="1440"/>
        <w:rPr>
          <w:sz w:val="26"/>
          <w:szCs w:val="26"/>
        </w:rPr>
      </w:pPr>
      <w:r>
        <w:rPr>
          <w:sz w:val="26"/>
          <w:szCs w:val="26"/>
        </w:rPr>
        <w:t>Based upon our review of this issue</w:t>
      </w:r>
      <w:r w:rsidR="00F93533">
        <w:rPr>
          <w:sz w:val="26"/>
          <w:szCs w:val="26"/>
        </w:rPr>
        <w:t>,</w:t>
      </w:r>
      <w:r>
        <w:rPr>
          <w:sz w:val="26"/>
          <w:szCs w:val="26"/>
        </w:rPr>
        <w:t xml:space="preserve"> we </w:t>
      </w:r>
      <w:r w:rsidR="00B82E20">
        <w:rPr>
          <w:sz w:val="26"/>
          <w:szCs w:val="26"/>
        </w:rPr>
        <w:t xml:space="preserve">conclude </w:t>
      </w:r>
      <w:r>
        <w:rPr>
          <w:sz w:val="26"/>
          <w:szCs w:val="26"/>
        </w:rPr>
        <w:t xml:space="preserve">that </w:t>
      </w:r>
      <w:r w:rsidR="00F93533">
        <w:rPr>
          <w:sz w:val="26"/>
          <w:szCs w:val="26"/>
        </w:rPr>
        <w:t xml:space="preserve">the cost of common equity for each Company will be determined as follows:  </w:t>
      </w:r>
      <w:r>
        <w:rPr>
          <w:sz w:val="26"/>
          <w:szCs w:val="26"/>
        </w:rPr>
        <w:t xml:space="preserve">if </w:t>
      </w:r>
      <w:r w:rsidR="00F93533">
        <w:rPr>
          <w:sz w:val="26"/>
          <w:szCs w:val="26"/>
        </w:rPr>
        <w:t xml:space="preserve">that Company has </w:t>
      </w:r>
      <w:r>
        <w:rPr>
          <w:sz w:val="26"/>
          <w:szCs w:val="26"/>
        </w:rPr>
        <w:t xml:space="preserve">a Return on Equity (ROE) </w:t>
      </w:r>
      <w:r w:rsidR="00B82E20">
        <w:rPr>
          <w:sz w:val="26"/>
          <w:szCs w:val="26"/>
        </w:rPr>
        <w:t xml:space="preserve">from a litigated base rate case that </w:t>
      </w:r>
      <w:r>
        <w:rPr>
          <w:sz w:val="26"/>
          <w:szCs w:val="26"/>
        </w:rPr>
        <w:t xml:space="preserve">is less than three years old, that ROE is to be used to determine the weighted average cost of capital under the Plan.  </w:t>
      </w:r>
      <w:r w:rsidR="00F93533">
        <w:rPr>
          <w:sz w:val="26"/>
          <w:szCs w:val="26"/>
        </w:rPr>
        <w:t>I</w:t>
      </w:r>
      <w:r>
        <w:rPr>
          <w:sz w:val="26"/>
          <w:szCs w:val="26"/>
        </w:rPr>
        <w:t>f</w:t>
      </w:r>
      <w:r w:rsidR="00B82E20">
        <w:rPr>
          <w:sz w:val="26"/>
          <w:szCs w:val="26"/>
        </w:rPr>
        <w:t>,</w:t>
      </w:r>
      <w:r>
        <w:rPr>
          <w:sz w:val="26"/>
          <w:szCs w:val="26"/>
        </w:rPr>
        <w:t xml:space="preserve"> however, the last litigated </w:t>
      </w:r>
      <w:r w:rsidR="00B82E20">
        <w:rPr>
          <w:sz w:val="26"/>
          <w:szCs w:val="26"/>
        </w:rPr>
        <w:t xml:space="preserve">base rate case </w:t>
      </w:r>
      <w:r>
        <w:rPr>
          <w:sz w:val="26"/>
          <w:szCs w:val="26"/>
        </w:rPr>
        <w:t xml:space="preserve">is more than three years old, the Quarterly ROEs </w:t>
      </w:r>
      <w:r w:rsidR="00B82E20">
        <w:rPr>
          <w:sz w:val="26"/>
          <w:szCs w:val="26"/>
        </w:rPr>
        <w:t xml:space="preserve">for the electric utility barometer group </w:t>
      </w:r>
      <w:r w:rsidR="00F93533">
        <w:rPr>
          <w:sz w:val="26"/>
          <w:szCs w:val="26"/>
        </w:rPr>
        <w:t xml:space="preserve">included in the </w:t>
      </w:r>
      <w:r w:rsidR="00381414">
        <w:rPr>
          <w:sz w:val="26"/>
          <w:szCs w:val="26"/>
        </w:rPr>
        <w:t xml:space="preserve">then most recent </w:t>
      </w:r>
      <w:r w:rsidR="00F93533">
        <w:rPr>
          <w:sz w:val="26"/>
          <w:szCs w:val="26"/>
        </w:rPr>
        <w:t>Qu</w:t>
      </w:r>
      <w:r>
        <w:rPr>
          <w:sz w:val="26"/>
          <w:szCs w:val="26"/>
        </w:rPr>
        <w:t>arterly Earnings Report is to be utilized</w:t>
      </w:r>
      <w:r w:rsidR="004866F7">
        <w:rPr>
          <w:rStyle w:val="FootnoteReference"/>
          <w:sz w:val="26"/>
          <w:szCs w:val="26"/>
        </w:rPr>
        <w:footnoteReference w:id="4"/>
      </w:r>
      <w:r w:rsidR="004866F7">
        <w:rPr>
          <w:sz w:val="26"/>
          <w:szCs w:val="26"/>
        </w:rPr>
        <w:t xml:space="preserve"> </w:t>
      </w:r>
      <w:r w:rsidR="00B82E20">
        <w:rPr>
          <w:sz w:val="26"/>
          <w:szCs w:val="26"/>
        </w:rPr>
        <w:t>until an ROE is determined in a subs</w:t>
      </w:r>
      <w:r w:rsidR="00EA5FBE">
        <w:rPr>
          <w:sz w:val="26"/>
          <w:szCs w:val="26"/>
        </w:rPr>
        <w:t>equent litigated base rate case, to be effective for the subsequent three year period</w:t>
      </w:r>
      <w:r>
        <w:rPr>
          <w:sz w:val="26"/>
          <w:szCs w:val="26"/>
        </w:rPr>
        <w:t>.</w:t>
      </w:r>
      <w:r w:rsidR="00EA5FBE">
        <w:rPr>
          <w:sz w:val="26"/>
          <w:szCs w:val="26"/>
        </w:rPr>
        <w:t xml:space="preserve">  To the extent that the subsequent base rate case is settled, </w:t>
      </w:r>
      <w:r w:rsidR="0066725D">
        <w:rPr>
          <w:sz w:val="26"/>
          <w:szCs w:val="26"/>
        </w:rPr>
        <w:t xml:space="preserve">the </w:t>
      </w:r>
      <w:r w:rsidR="00916F1D">
        <w:rPr>
          <w:sz w:val="26"/>
          <w:szCs w:val="26"/>
        </w:rPr>
        <w:t>p</w:t>
      </w:r>
      <w:r w:rsidR="00EA5FBE">
        <w:rPr>
          <w:sz w:val="26"/>
          <w:szCs w:val="26"/>
        </w:rPr>
        <w:t xml:space="preserve">arties are to establish the applicable ROE to apply for the purposes of the Plan recovery mechanism in that proceeding. </w:t>
      </w:r>
      <w:r>
        <w:rPr>
          <w:sz w:val="26"/>
          <w:szCs w:val="26"/>
        </w:rPr>
        <w:t xml:space="preserve">  </w:t>
      </w:r>
    </w:p>
    <w:p w:rsidR="000A6B98" w:rsidRDefault="000A6B98" w:rsidP="000A6B98">
      <w:pPr>
        <w:spacing w:line="360" w:lineRule="auto"/>
        <w:ind w:firstLine="1440"/>
        <w:rPr>
          <w:sz w:val="26"/>
          <w:szCs w:val="26"/>
        </w:rPr>
      </w:pPr>
    </w:p>
    <w:p w:rsidR="000A6B98" w:rsidRDefault="000A6B98" w:rsidP="000A6B98">
      <w:pPr>
        <w:spacing w:line="360" w:lineRule="auto"/>
        <w:ind w:firstLine="1440"/>
        <w:rPr>
          <w:sz w:val="26"/>
          <w:szCs w:val="26"/>
        </w:rPr>
      </w:pPr>
      <w:r>
        <w:rPr>
          <w:sz w:val="26"/>
          <w:szCs w:val="26"/>
        </w:rPr>
        <w:t>While the water company DSIC ROE computation is based upon a litigated allowance unless two years has passed since that ROE was established, we believe that a span of three years for those EDCs filing sma</w:t>
      </w:r>
      <w:r w:rsidR="00EA5FBE">
        <w:rPr>
          <w:sz w:val="26"/>
          <w:szCs w:val="26"/>
        </w:rPr>
        <w:t>rt meter plans is reasonable.  Although t</w:t>
      </w:r>
      <w:r>
        <w:rPr>
          <w:sz w:val="26"/>
          <w:szCs w:val="26"/>
        </w:rPr>
        <w:t xml:space="preserve">he </w:t>
      </w:r>
      <w:r>
        <w:rPr>
          <w:sz w:val="26"/>
          <w:szCs w:val="26"/>
        </w:rPr>
        <w:lastRenderedPageBreak/>
        <w:t>three year period may not represent the historic filing of our EDCs over the last two decades, we believe that</w:t>
      </w:r>
      <w:r w:rsidR="00EA5FBE">
        <w:rPr>
          <w:sz w:val="26"/>
          <w:szCs w:val="26"/>
        </w:rPr>
        <w:t>,</w:t>
      </w:r>
      <w:r>
        <w:rPr>
          <w:sz w:val="26"/>
          <w:szCs w:val="26"/>
        </w:rPr>
        <w:t xml:space="preserve"> given today’s economic uncertainty, the use of a </w:t>
      </w:r>
      <w:r w:rsidR="00EA5FBE">
        <w:rPr>
          <w:sz w:val="26"/>
          <w:szCs w:val="26"/>
        </w:rPr>
        <w:t xml:space="preserve">three year period </w:t>
      </w:r>
      <w:r>
        <w:rPr>
          <w:sz w:val="26"/>
          <w:szCs w:val="26"/>
        </w:rPr>
        <w:t>to establish this component of rate recovery is also reasonable.  Accordingly, we shall reverse the recommendation of the ALJ and adopt the OTS’s position.</w:t>
      </w:r>
    </w:p>
    <w:p w:rsidR="00EB3313" w:rsidRDefault="00EB3313" w:rsidP="002F5812">
      <w:pPr>
        <w:spacing w:line="360" w:lineRule="auto"/>
        <w:ind w:firstLine="2160"/>
        <w:rPr>
          <w:sz w:val="26"/>
          <w:szCs w:val="26"/>
        </w:rPr>
      </w:pPr>
    </w:p>
    <w:p w:rsidR="0039323E" w:rsidRDefault="0039323E" w:rsidP="0039323E">
      <w:pPr>
        <w:pStyle w:val="Heading3"/>
      </w:pPr>
      <w:bookmarkStart w:id="81" w:name="_Toc259798224"/>
      <w:bookmarkStart w:id="82" w:name="_Toc263848868"/>
      <w:r>
        <w:t>2.</w:t>
      </w:r>
      <w:r>
        <w:tab/>
        <w:t>SMT-C Filing and Reconciliation Dates and Adjustment Periods</w:t>
      </w:r>
      <w:bookmarkEnd w:id="81"/>
      <w:bookmarkEnd w:id="82"/>
    </w:p>
    <w:p w:rsidR="0039323E" w:rsidRDefault="0039323E" w:rsidP="002F5812">
      <w:pPr>
        <w:spacing w:line="360" w:lineRule="auto"/>
        <w:ind w:firstLine="2160"/>
        <w:rPr>
          <w:sz w:val="26"/>
          <w:szCs w:val="26"/>
        </w:rPr>
      </w:pPr>
    </w:p>
    <w:p w:rsidR="00EB3313" w:rsidRDefault="00EB3313" w:rsidP="00EB3313">
      <w:pPr>
        <w:pStyle w:val="Heading4"/>
      </w:pPr>
      <w:bookmarkStart w:id="83" w:name="_Toc259798225"/>
      <w:bookmarkStart w:id="84" w:name="_Toc263848869"/>
      <w:r>
        <w:t>a.</w:t>
      </w:r>
      <w:r>
        <w:tab/>
      </w:r>
      <w:r w:rsidR="00B55DC4">
        <w:t>FirstEnergy</w:t>
      </w:r>
      <w:r>
        <w:t>’s Plan</w:t>
      </w:r>
      <w:bookmarkEnd w:id="83"/>
      <w:bookmarkEnd w:id="84"/>
    </w:p>
    <w:p w:rsidR="00EB3313" w:rsidRDefault="00EB3313" w:rsidP="00EB3313">
      <w:pPr>
        <w:spacing w:line="360" w:lineRule="auto"/>
        <w:ind w:firstLine="2160"/>
        <w:rPr>
          <w:sz w:val="26"/>
          <w:szCs w:val="26"/>
        </w:rPr>
      </w:pPr>
    </w:p>
    <w:p w:rsidR="00FA2146" w:rsidRDefault="00566399" w:rsidP="00EB3313">
      <w:pPr>
        <w:spacing w:line="360" w:lineRule="auto"/>
        <w:ind w:firstLine="2160"/>
        <w:rPr>
          <w:sz w:val="26"/>
          <w:szCs w:val="26"/>
        </w:rPr>
      </w:pPr>
      <w:r>
        <w:rPr>
          <w:sz w:val="26"/>
          <w:szCs w:val="26"/>
        </w:rPr>
        <w:t xml:space="preserve">The Companies propose that the SMT-C rider be updated and reconciled on an annual basis (unless a material under- or over-collection is expected, in which case </w:t>
      </w:r>
      <w:r w:rsidR="00D21328">
        <w:rPr>
          <w:sz w:val="26"/>
          <w:szCs w:val="26"/>
        </w:rPr>
        <w:t>the Companies would submit a request for an interim revision of rates).  W</w:t>
      </w:r>
      <w:r w:rsidR="006C7DEF">
        <w:rPr>
          <w:sz w:val="26"/>
          <w:szCs w:val="26"/>
        </w:rPr>
        <w:t xml:space="preserve">ith the exception of the initial </w:t>
      </w:r>
      <w:r w:rsidR="005823AE">
        <w:rPr>
          <w:sz w:val="26"/>
          <w:szCs w:val="26"/>
        </w:rPr>
        <w:t xml:space="preserve">SMT-C </w:t>
      </w:r>
      <w:r w:rsidR="006C7DEF">
        <w:rPr>
          <w:sz w:val="26"/>
          <w:szCs w:val="26"/>
        </w:rPr>
        <w:t xml:space="preserve">rates, the Companies propose </w:t>
      </w:r>
      <w:r w:rsidR="005823AE">
        <w:rPr>
          <w:sz w:val="26"/>
          <w:szCs w:val="26"/>
        </w:rPr>
        <w:t>the following milestone dates and deadlines for filing:</w:t>
      </w:r>
    </w:p>
    <w:p w:rsidR="005823AE" w:rsidRDefault="005823AE" w:rsidP="00EB3313">
      <w:pPr>
        <w:spacing w:line="360" w:lineRule="auto"/>
        <w:ind w:firstLine="2160"/>
        <w:rPr>
          <w:sz w:val="26"/>
          <w:szCs w:val="26"/>
        </w:rPr>
      </w:pPr>
    </w:p>
    <w:p w:rsidR="005823AE" w:rsidRDefault="005823AE" w:rsidP="004866F7">
      <w:pPr>
        <w:ind w:firstLine="1440"/>
        <w:rPr>
          <w:sz w:val="26"/>
          <w:szCs w:val="26"/>
        </w:rPr>
      </w:pPr>
      <w:r>
        <w:rPr>
          <w:sz w:val="26"/>
          <w:szCs w:val="26"/>
        </w:rPr>
        <w:t>January 31</w:t>
      </w:r>
      <w:r>
        <w:rPr>
          <w:sz w:val="26"/>
          <w:szCs w:val="26"/>
        </w:rPr>
        <w:tab/>
        <w:t>End of the 12-month SMT-C Reconciliation Year</w:t>
      </w:r>
    </w:p>
    <w:p w:rsidR="005823AE" w:rsidRDefault="005823AE" w:rsidP="005823AE">
      <w:pPr>
        <w:ind w:firstLine="2160"/>
        <w:rPr>
          <w:sz w:val="26"/>
          <w:szCs w:val="26"/>
        </w:rPr>
      </w:pPr>
    </w:p>
    <w:p w:rsidR="005823AE" w:rsidRDefault="005823AE" w:rsidP="004866F7">
      <w:pPr>
        <w:ind w:left="2880" w:right="1440" w:hanging="1440"/>
        <w:rPr>
          <w:sz w:val="26"/>
          <w:szCs w:val="26"/>
        </w:rPr>
      </w:pPr>
      <w:r>
        <w:rPr>
          <w:sz w:val="26"/>
          <w:szCs w:val="26"/>
        </w:rPr>
        <w:t>March 1</w:t>
      </w:r>
      <w:r>
        <w:rPr>
          <w:sz w:val="26"/>
          <w:szCs w:val="26"/>
        </w:rPr>
        <w:tab/>
        <w:t>Filing date for (1) the statement of reconciliation of SMT-C revenues and costs for the Recon</w:t>
      </w:r>
      <w:r w:rsidR="00513251">
        <w:rPr>
          <w:sz w:val="26"/>
          <w:szCs w:val="26"/>
        </w:rPr>
        <w:t>ciliation Year and (2) the SMT-C rates to become effective on April 1 and accompanying information.</w:t>
      </w:r>
    </w:p>
    <w:p w:rsidR="00513251" w:rsidRDefault="00513251" w:rsidP="005823AE">
      <w:pPr>
        <w:ind w:firstLine="2160"/>
        <w:rPr>
          <w:sz w:val="26"/>
          <w:szCs w:val="26"/>
        </w:rPr>
      </w:pPr>
    </w:p>
    <w:p w:rsidR="005F24ED" w:rsidRDefault="00513251" w:rsidP="004866F7">
      <w:pPr>
        <w:ind w:left="2880" w:right="1440" w:hanging="1440"/>
        <w:rPr>
          <w:sz w:val="26"/>
          <w:szCs w:val="26"/>
        </w:rPr>
      </w:pPr>
      <w:r>
        <w:rPr>
          <w:sz w:val="26"/>
          <w:szCs w:val="26"/>
        </w:rPr>
        <w:t>April 1</w:t>
      </w:r>
      <w:r>
        <w:rPr>
          <w:sz w:val="26"/>
          <w:szCs w:val="26"/>
        </w:rPr>
        <w:tab/>
        <w:t xml:space="preserve">Beginning of 12-month SMT-C Computational Year and effective </w:t>
      </w:r>
      <w:r w:rsidR="005F24ED">
        <w:rPr>
          <w:sz w:val="26"/>
          <w:szCs w:val="26"/>
        </w:rPr>
        <w:t xml:space="preserve">date of the proposed </w:t>
      </w:r>
      <w:r w:rsidR="005F24ED">
        <w:rPr>
          <w:sz w:val="26"/>
          <w:szCs w:val="26"/>
        </w:rPr>
        <w:br/>
        <w:t xml:space="preserve">SMT-C rates subject to the Commission’s review of the Companies’ reconciliation statements and public hearings thereon, as required by 66 Pa. C.S. § 1307(e), and subsequent audits, as provide in 66 Pa. C.S. </w:t>
      </w:r>
      <w:r w:rsidR="00067E2F">
        <w:rPr>
          <w:sz w:val="26"/>
          <w:szCs w:val="26"/>
        </w:rPr>
        <w:br/>
      </w:r>
      <w:r w:rsidR="005F24ED">
        <w:rPr>
          <w:sz w:val="26"/>
          <w:szCs w:val="26"/>
        </w:rPr>
        <w:t>§ 1307(d).</w:t>
      </w:r>
    </w:p>
    <w:p w:rsidR="005F24ED" w:rsidRDefault="005F24ED" w:rsidP="005F24ED">
      <w:pPr>
        <w:spacing w:line="360" w:lineRule="auto"/>
        <w:ind w:left="1440" w:right="1440" w:firstLine="720"/>
        <w:rPr>
          <w:sz w:val="26"/>
          <w:szCs w:val="26"/>
        </w:rPr>
      </w:pPr>
    </w:p>
    <w:p w:rsidR="00513251" w:rsidRDefault="00B55DC4" w:rsidP="00F40A4A">
      <w:pPr>
        <w:spacing w:line="360" w:lineRule="auto"/>
        <w:rPr>
          <w:sz w:val="26"/>
          <w:szCs w:val="26"/>
        </w:rPr>
      </w:pPr>
      <w:r>
        <w:rPr>
          <w:sz w:val="26"/>
          <w:szCs w:val="26"/>
        </w:rPr>
        <w:t>FirstEnergy</w:t>
      </w:r>
      <w:r w:rsidR="00F40A4A">
        <w:rPr>
          <w:sz w:val="26"/>
          <w:szCs w:val="26"/>
        </w:rPr>
        <w:t xml:space="preserve"> MB at 30.</w:t>
      </w:r>
      <w:r w:rsidR="005F24ED">
        <w:rPr>
          <w:sz w:val="26"/>
          <w:szCs w:val="26"/>
        </w:rPr>
        <w:t xml:space="preserve"> </w:t>
      </w:r>
      <w:r w:rsidR="00566399">
        <w:rPr>
          <w:sz w:val="26"/>
          <w:szCs w:val="26"/>
        </w:rPr>
        <w:t xml:space="preserve"> </w:t>
      </w:r>
    </w:p>
    <w:p w:rsidR="005823AE" w:rsidRDefault="005823AE" w:rsidP="00EB3313">
      <w:pPr>
        <w:spacing w:line="360" w:lineRule="auto"/>
        <w:ind w:firstLine="2160"/>
        <w:rPr>
          <w:sz w:val="26"/>
          <w:szCs w:val="26"/>
        </w:rPr>
      </w:pPr>
    </w:p>
    <w:p w:rsidR="00566399" w:rsidRDefault="00566399" w:rsidP="009121E7">
      <w:pPr>
        <w:spacing w:line="360" w:lineRule="auto"/>
        <w:ind w:firstLine="1440"/>
        <w:rPr>
          <w:sz w:val="26"/>
          <w:szCs w:val="26"/>
        </w:rPr>
      </w:pPr>
      <w:r>
        <w:rPr>
          <w:sz w:val="26"/>
          <w:szCs w:val="26"/>
        </w:rPr>
        <w:lastRenderedPageBreak/>
        <w:t xml:space="preserve">The </w:t>
      </w:r>
      <w:r w:rsidR="00F40A4A">
        <w:rPr>
          <w:sz w:val="26"/>
          <w:szCs w:val="26"/>
        </w:rPr>
        <w:t xml:space="preserve">OTS recommended that the Commission establish a uniform schedule for smart meter filings, rather than having a </w:t>
      </w:r>
      <w:r w:rsidR="001855E7">
        <w:rPr>
          <w:sz w:val="26"/>
          <w:szCs w:val="26"/>
        </w:rPr>
        <w:t>company-specific</w:t>
      </w:r>
      <w:r w:rsidR="00F40A4A">
        <w:rPr>
          <w:sz w:val="26"/>
          <w:szCs w:val="26"/>
        </w:rPr>
        <w:t xml:space="preserve"> schedule.</w:t>
      </w:r>
      <w:r w:rsidR="009121E7">
        <w:rPr>
          <w:sz w:val="26"/>
          <w:szCs w:val="26"/>
        </w:rPr>
        <w:t xml:space="preserve">  Under the OTS’s proposed</w:t>
      </w:r>
      <w:r w:rsidR="001855E7">
        <w:rPr>
          <w:sz w:val="26"/>
          <w:szCs w:val="26"/>
        </w:rPr>
        <w:t xml:space="preserve"> schedule, the twelve-month Reconciliation Year w</w:t>
      </w:r>
      <w:r w:rsidR="009121E7">
        <w:rPr>
          <w:sz w:val="26"/>
          <w:szCs w:val="26"/>
        </w:rPr>
        <w:t>ould end on June 30</w:t>
      </w:r>
      <w:r w:rsidR="001855E7">
        <w:rPr>
          <w:sz w:val="26"/>
          <w:szCs w:val="26"/>
        </w:rPr>
        <w:t>.  The EDCs would be required to submit their annual filing</w:t>
      </w:r>
      <w:r w:rsidR="009121E7">
        <w:rPr>
          <w:sz w:val="26"/>
          <w:szCs w:val="26"/>
        </w:rPr>
        <w:t>s</w:t>
      </w:r>
      <w:r w:rsidR="001855E7">
        <w:rPr>
          <w:sz w:val="26"/>
          <w:szCs w:val="26"/>
        </w:rPr>
        <w:t xml:space="preserve"> by August 1, the Commission would be required to hold hearings by October 1, and the Commission</w:t>
      </w:r>
      <w:r w:rsidR="00A7404A">
        <w:rPr>
          <w:sz w:val="26"/>
          <w:szCs w:val="26"/>
        </w:rPr>
        <w:t xml:space="preserve"> would be required to issue an O</w:t>
      </w:r>
      <w:r w:rsidR="001855E7">
        <w:rPr>
          <w:sz w:val="26"/>
          <w:szCs w:val="26"/>
        </w:rPr>
        <w:t>rder by December 1</w:t>
      </w:r>
      <w:r w:rsidR="009121E7">
        <w:rPr>
          <w:sz w:val="26"/>
          <w:szCs w:val="26"/>
        </w:rPr>
        <w:t xml:space="preserve">.  The resulting </w:t>
      </w:r>
      <w:r w:rsidR="001855E7">
        <w:rPr>
          <w:sz w:val="26"/>
          <w:szCs w:val="26"/>
        </w:rPr>
        <w:t>tariff</w:t>
      </w:r>
      <w:r w:rsidR="009121E7">
        <w:rPr>
          <w:sz w:val="26"/>
          <w:szCs w:val="26"/>
        </w:rPr>
        <w:t xml:space="preserve"> would be</w:t>
      </w:r>
      <w:r w:rsidR="001855E7">
        <w:rPr>
          <w:sz w:val="26"/>
          <w:szCs w:val="26"/>
        </w:rPr>
        <w:t xml:space="preserve"> effective on January 1.</w:t>
      </w:r>
      <w:r w:rsidR="009121E7">
        <w:rPr>
          <w:sz w:val="26"/>
          <w:szCs w:val="26"/>
        </w:rPr>
        <w:t xml:space="preserve">  OTS MB at 10.</w:t>
      </w:r>
    </w:p>
    <w:p w:rsidR="00566399" w:rsidRDefault="00566399" w:rsidP="009121E7">
      <w:pPr>
        <w:spacing w:line="360" w:lineRule="auto"/>
        <w:ind w:firstLine="1440"/>
        <w:rPr>
          <w:sz w:val="26"/>
          <w:szCs w:val="26"/>
        </w:rPr>
      </w:pPr>
    </w:p>
    <w:p w:rsidR="005823AE" w:rsidRDefault="00566399" w:rsidP="009121E7">
      <w:pPr>
        <w:spacing w:line="360" w:lineRule="auto"/>
        <w:ind w:firstLine="1440"/>
        <w:rPr>
          <w:sz w:val="26"/>
          <w:szCs w:val="26"/>
        </w:rPr>
      </w:pPr>
      <w:r>
        <w:rPr>
          <w:sz w:val="26"/>
          <w:szCs w:val="26"/>
        </w:rPr>
        <w:t>In addition</w:t>
      </w:r>
      <w:r w:rsidR="00D21328">
        <w:rPr>
          <w:sz w:val="26"/>
          <w:szCs w:val="26"/>
        </w:rPr>
        <w:t xml:space="preserve"> to the annual rate adjustment and reconciliation, the OTS recommended that rates should be reviewed and adjusted quarterly.  This would minimize the impact of projection errors and avoid “dramatic</w:t>
      </w:r>
      <w:r w:rsidR="00095EC9">
        <w:rPr>
          <w:sz w:val="26"/>
          <w:szCs w:val="26"/>
        </w:rPr>
        <w:t xml:space="preserve"> fluctuations” in rates as a result of annual adjustments</w:t>
      </w:r>
      <w:r w:rsidR="00D21328">
        <w:rPr>
          <w:sz w:val="26"/>
          <w:szCs w:val="26"/>
        </w:rPr>
        <w:t>.  OTS MB at 12.</w:t>
      </w:r>
      <w:r w:rsidR="00095EC9">
        <w:rPr>
          <w:sz w:val="26"/>
          <w:szCs w:val="26"/>
        </w:rPr>
        <w:t xml:space="preserve">  </w:t>
      </w:r>
      <w:r w:rsidR="00066031">
        <w:rPr>
          <w:sz w:val="26"/>
          <w:szCs w:val="26"/>
        </w:rPr>
        <w:t xml:space="preserve">The </w:t>
      </w:r>
      <w:r w:rsidR="00095EC9">
        <w:rPr>
          <w:sz w:val="26"/>
          <w:szCs w:val="26"/>
        </w:rPr>
        <w:t>OTS argued that these filings should be due at least ten days before the beginning of each calendar quarter, to allow for rate adjustments on January 1, April 1, July 1 and October 1.</w:t>
      </w:r>
      <w:r w:rsidR="00D21328">
        <w:rPr>
          <w:sz w:val="26"/>
          <w:szCs w:val="26"/>
        </w:rPr>
        <w:t xml:space="preserve">  </w:t>
      </w:r>
      <w:r w:rsidR="001855E7">
        <w:rPr>
          <w:sz w:val="26"/>
          <w:szCs w:val="26"/>
        </w:rPr>
        <w:t xml:space="preserve">  </w:t>
      </w:r>
      <w:r w:rsidR="00F40A4A">
        <w:rPr>
          <w:sz w:val="26"/>
          <w:szCs w:val="26"/>
        </w:rPr>
        <w:t xml:space="preserve">  </w:t>
      </w:r>
    </w:p>
    <w:p w:rsidR="00FA2146" w:rsidRDefault="00FA2146" w:rsidP="00EB3313">
      <w:pPr>
        <w:spacing w:line="360" w:lineRule="auto"/>
        <w:ind w:firstLine="2160"/>
        <w:rPr>
          <w:sz w:val="26"/>
          <w:szCs w:val="26"/>
        </w:rPr>
      </w:pPr>
    </w:p>
    <w:p w:rsidR="00EB3313" w:rsidRDefault="00EB3313" w:rsidP="00EB3313">
      <w:pPr>
        <w:pStyle w:val="Heading4"/>
      </w:pPr>
      <w:bookmarkStart w:id="85" w:name="_Toc259798226"/>
      <w:bookmarkStart w:id="86" w:name="_Toc263848870"/>
      <w:r>
        <w:t>b.</w:t>
      </w:r>
      <w:r>
        <w:tab/>
        <w:t>ALJ’s Recommendation</w:t>
      </w:r>
      <w:bookmarkEnd w:id="85"/>
      <w:bookmarkEnd w:id="86"/>
    </w:p>
    <w:p w:rsidR="00EB3313" w:rsidRDefault="00EB3313" w:rsidP="00EB3313">
      <w:pPr>
        <w:spacing w:line="360" w:lineRule="auto"/>
        <w:ind w:firstLine="2160"/>
        <w:rPr>
          <w:sz w:val="26"/>
          <w:szCs w:val="26"/>
        </w:rPr>
      </w:pPr>
    </w:p>
    <w:p w:rsidR="00F14DD2" w:rsidRPr="00F108C2" w:rsidRDefault="00A367FA" w:rsidP="00EB3313">
      <w:pPr>
        <w:spacing w:line="360" w:lineRule="auto"/>
        <w:ind w:firstLine="2160"/>
        <w:rPr>
          <w:sz w:val="26"/>
          <w:szCs w:val="26"/>
        </w:rPr>
      </w:pPr>
      <w:r>
        <w:rPr>
          <w:sz w:val="26"/>
          <w:szCs w:val="26"/>
        </w:rPr>
        <w:t xml:space="preserve">With regard to filing and reconciliation dates and adjustment periods, the ALJ found the Companies’ Plan reasonable and consistent with both Act 129 and the </w:t>
      </w:r>
      <w:r w:rsidR="004665D7">
        <w:rPr>
          <w:i/>
          <w:sz w:val="26"/>
          <w:szCs w:val="26"/>
        </w:rPr>
        <w:t xml:space="preserve">Implementation Order.  </w:t>
      </w:r>
      <w:r w:rsidR="00F108C2">
        <w:rPr>
          <w:sz w:val="26"/>
          <w:szCs w:val="26"/>
        </w:rPr>
        <w:t xml:space="preserve">The ALJ was not persuaded that the timetables of the EDCs need to match, nor was she persuaded that the Companies’ ratepayers should pay </w:t>
      </w:r>
      <w:r w:rsidR="00F27F14">
        <w:rPr>
          <w:sz w:val="26"/>
          <w:szCs w:val="26"/>
        </w:rPr>
        <w:t xml:space="preserve">the cost of </w:t>
      </w:r>
      <w:r w:rsidR="00F108C2">
        <w:rPr>
          <w:sz w:val="26"/>
          <w:szCs w:val="26"/>
        </w:rPr>
        <w:t xml:space="preserve">quarterly </w:t>
      </w:r>
      <w:r w:rsidR="00F27F14">
        <w:rPr>
          <w:sz w:val="26"/>
          <w:szCs w:val="26"/>
        </w:rPr>
        <w:t xml:space="preserve">reports and </w:t>
      </w:r>
      <w:r w:rsidR="00F108C2">
        <w:rPr>
          <w:sz w:val="26"/>
          <w:szCs w:val="26"/>
        </w:rPr>
        <w:t>adjustments.</w:t>
      </w:r>
      <w:r w:rsidR="00F27F14">
        <w:rPr>
          <w:sz w:val="26"/>
          <w:szCs w:val="26"/>
        </w:rPr>
        <w:t xml:space="preserve">  She therefore rejected the OTS’s proposal and approved the Companies’ proposed filing and reconciliation dates and adjustment periods. </w:t>
      </w:r>
      <w:r w:rsidR="007C4A07">
        <w:rPr>
          <w:sz w:val="26"/>
          <w:szCs w:val="26"/>
        </w:rPr>
        <w:t>I.D.</w:t>
      </w:r>
      <w:r w:rsidR="00F27F14">
        <w:rPr>
          <w:sz w:val="26"/>
          <w:szCs w:val="26"/>
        </w:rPr>
        <w:t>at 38-41.</w:t>
      </w:r>
      <w:r w:rsidR="00F108C2">
        <w:rPr>
          <w:sz w:val="26"/>
          <w:szCs w:val="26"/>
        </w:rPr>
        <w:t xml:space="preserve">  </w:t>
      </w:r>
    </w:p>
    <w:p w:rsidR="00F14DD2" w:rsidRDefault="00F14DD2" w:rsidP="00EB3313">
      <w:pPr>
        <w:spacing w:line="360" w:lineRule="auto"/>
        <w:ind w:firstLine="2160"/>
        <w:rPr>
          <w:sz w:val="26"/>
          <w:szCs w:val="26"/>
        </w:rPr>
      </w:pPr>
    </w:p>
    <w:p w:rsidR="00EB3313" w:rsidRDefault="00EB3313" w:rsidP="00EB3313">
      <w:pPr>
        <w:pStyle w:val="Heading4"/>
      </w:pPr>
      <w:bookmarkStart w:id="87" w:name="_Toc259798227"/>
      <w:bookmarkStart w:id="88" w:name="_Toc263848871"/>
      <w:r>
        <w:t>c.</w:t>
      </w:r>
      <w:r>
        <w:tab/>
        <w:t>Positions of the Parties</w:t>
      </w:r>
      <w:bookmarkEnd w:id="87"/>
      <w:bookmarkEnd w:id="88"/>
    </w:p>
    <w:p w:rsidR="00EB3313" w:rsidRPr="00A22AAC" w:rsidRDefault="00EB3313" w:rsidP="00EB3313">
      <w:pPr>
        <w:rPr>
          <w:sz w:val="26"/>
          <w:szCs w:val="26"/>
        </w:rPr>
      </w:pPr>
    </w:p>
    <w:p w:rsidR="00ED44E6" w:rsidRDefault="00A22AAC" w:rsidP="00A22AAC">
      <w:pPr>
        <w:spacing w:line="360" w:lineRule="auto"/>
        <w:ind w:firstLine="1440"/>
        <w:rPr>
          <w:sz w:val="26"/>
          <w:szCs w:val="26"/>
        </w:rPr>
      </w:pPr>
      <w:r>
        <w:rPr>
          <w:sz w:val="26"/>
          <w:szCs w:val="26"/>
        </w:rPr>
        <w:t xml:space="preserve">The OTS argues that the ALJ erred by not establishing a uniform </w:t>
      </w:r>
      <w:r w:rsidR="00E02DA3">
        <w:rPr>
          <w:sz w:val="26"/>
          <w:szCs w:val="26"/>
        </w:rPr>
        <w:t xml:space="preserve">schedule for filing dates and </w:t>
      </w:r>
      <w:r>
        <w:rPr>
          <w:sz w:val="26"/>
          <w:szCs w:val="26"/>
        </w:rPr>
        <w:t>reconciliation period</w:t>
      </w:r>
      <w:r w:rsidR="00E02DA3">
        <w:rPr>
          <w:sz w:val="26"/>
          <w:szCs w:val="26"/>
        </w:rPr>
        <w:t>s</w:t>
      </w:r>
      <w:r>
        <w:rPr>
          <w:sz w:val="26"/>
          <w:szCs w:val="26"/>
        </w:rPr>
        <w:t xml:space="preserve">.  </w:t>
      </w:r>
      <w:r w:rsidR="002D10B1">
        <w:rPr>
          <w:sz w:val="26"/>
          <w:szCs w:val="26"/>
        </w:rPr>
        <w:t xml:space="preserve">OTS Exc. at 7-9.  </w:t>
      </w:r>
      <w:r>
        <w:rPr>
          <w:sz w:val="26"/>
          <w:szCs w:val="26"/>
        </w:rPr>
        <w:t xml:space="preserve">According to the OTS, </w:t>
      </w:r>
      <w:r w:rsidR="00E02DA3">
        <w:rPr>
          <w:sz w:val="26"/>
          <w:szCs w:val="26"/>
        </w:rPr>
        <w:t xml:space="preserve">such </w:t>
      </w:r>
      <w:r>
        <w:rPr>
          <w:sz w:val="26"/>
          <w:szCs w:val="26"/>
        </w:rPr>
        <w:lastRenderedPageBreak/>
        <w:t>a uniform schedule would promote administrative and judicial efficiency</w:t>
      </w:r>
      <w:r w:rsidR="00FF3F3E">
        <w:rPr>
          <w:sz w:val="26"/>
          <w:szCs w:val="26"/>
        </w:rPr>
        <w:t xml:space="preserve"> for the Commission and all parties involved in EDC smart meter proceedings</w:t>
      </w:r>
      <w:r>
        <w:rPr>
          <w:sz w:val="26"/>
          <w:szCs w:val="26"/>
        </w:rPr>
        <w:t>.</w:t>
      </w:r>
      <w:r w:rsidR="00FF3F3E">
        <w:rPr>
          <w:sz w:val="26"/>
          <w:szCs w:val="26"/>
        </w:rPr>
        <w:t xml:space="preserve">  </w:t>
      </w:r>
      <w:r w:rsidR="00A7404A">
        <w:rPr>
          <w:sz w:val="26"/>
          <w:szCs w:val="26"/>
        </w:rPr>
        <w:t>In this regard, t</w:t>
      </w:r>
      <w:r w:rsidR="00FF3F3E">
        <w:rPr>
          <w:sz w:val="26"/>
          <w:szCs w:val="26"/>
        </w:rPr>
        <w:t xml:space="preserve">he OTS notes </w:t>
      </w:r>
      <w:r w:rsidR="00ED44E6">
        <w:rPr>
          <w:sz w:val="26"/>
          <w:szCs w:val="26"/>
        </w:rPr>
        <w:t>that the Commission engages in an extensive review process for both gas distribution companies’ annual 1307(f) proceedings and EDCs’ annual Energy Efficiency and Conservation Plan proceedings</w:t>
      </w:r>
      <w:r w:rsidR="00A7404A">
        <w:rPr>
          <w:sz w:val="26"/>
          <w:szCs w:val="26"/>
        </w:rPr>
        <w:t>:</w:t>
      </w:r>
      <w:r w:rsidR="00ED44E6">
        <w:rPr>
          <w:sz w:val="26"/>
          <w:szCs w:val="26"/>
        </w:rPr>
        <w:t xml:space="preserve">  </w:t>
      </w:r>
    </w:p>
    <w:p w:rsidR="00ED44E6" w:rsidRDefault="00ED44E6" w:rsidP="00ED44E6">
      <w:pPr>
        <w:ind w:firstLine="1440"/>
        <w:rPr>
          <w:sz w:val="26"/>
          <w:szCs w:val="26"/>
        </w:rPr>
      </w:pPr>
    </w:p>
    <w:p w:rsidR="00A22AAC" w:rsidRDefault="00FF3F3E" w:rsidP="00ED44E6">
      <w:pPr>
        <w:ind w:left="1440" w:right="1440"/>
        <w:rPr>
          <w:sz w:val="26"/>
          <w:szCs w:val="26"/>
        </w:rPr>
      </w:pPr>
      <w:r>
        <w:rPr>
          <w:sz w:val="26"/>
          <w:szCs w:val="26"/>
        </w:rPr>
        <w:t>Synchronizing the filing and review dates between those for the smart meter filings and those for such other annual Commission review proceedings to avoid each other during the year</w:t>
      </w:r>
      <w:r w:rsidR="00ED44E6">
        <w:rPr>
          <w:sz w:val="26"/>
          <w:szCs w:val="26"/>
        </w:rPr>
        <w:t xml:space="preserve"> will allow the Office of Administrative Law Judge (“OALJ”), the statutory and other interested parties and particularly the Commission sufficient time to review and rule upon all aspects of such filings, and in particular the reported costs to be assessed to ratepayers.</w:t>
      </w:r>
    </w:p>
    <w:p w:rsidR="009B7286" w:rsidRDefault="009B7286" w:rsidP="009B7286">
      <w:pPr>
        <w:spacing w:line="360" w:lineRule="auto"/>
        <w:ind w:left="1440" w:right="1440"/>
        <w:rPr>
          <w:sz w:val="26"/>
          <w:szCs w:val="26"/>
        </w:rPr>
      </w:pPr>
    </w:p>
    <w:p w:rsidR="00FF3F3E" w:rsidRDefault="002D10B1" w:rsidP="00673C4C">
      <w:pPr>
        <w:spacing w:line="360" w:lineRule="auto"/>
        <w:rPr>
          <w:sz w:val="26"/>
          <w:szCs w:val="26"/>
        </w:rPr>
      </w:pPr>
      <w:r w:rsidRPr="002D10B1">
        <w:rPr>
          <w:i/>
          <w:sz w:val="26"/>
          <w:szCs w:val="26"/>
        </w:rPr>
        <w:t>Id</w:t>
      </w:r>
      <w:r w:rsidR="00673C4C">
        <w:rPr>
          <w:sz w:val="26"/>
          <w:szCs w:val="26"/>
        </w:rPr>
        <w:t>. at 8.</w:t>
      </w:r>
      <w:r w:rsidR="00E02DA3">
        <w:rPr>
          <w:sz w:val="26"/>
          <w:szCs w:val="26"/>
        </w:rPr>
        <w:t xml:space="preserve">  Finally, the OTS suggests that a uniform </w:t>
      </w:r>
      <w:r>
        <w:rPr>
          <w:sz w:val="26"/>
          <w:szCs w:val="26"/>
        </w:rPr>
        <w:t xml:space="preserve">schedule for filing dates and reconciliation periods would improve the Commission’s ability to ensure consistency in its decisions regarding smart meter plans. </w:t>
      </w:r>
    </w:p>
    <w:p w:rsidR="00673C4C" w:rsidRDefault="00673C4C" w:rsidP="00673C4C">
      <w:pPr>
        <w:spacing w:line="360" w:lineRule="auto"/>
        <w:ind w:firstLine="1440"/>
        <w:rPr>
          <w:sz w:val="26"/>
          <w:szCs w:val="26"/>
        </w:rPr>
      </w:pPr>
    </w:p>
    <w:p w:rsidR="009B7286" w:rsidRDefault="002D10B1" w:rsidP="00673C4C">
      <w:pPr>
        <w:spacing w:line="360" w:lineRule="auto"/>
        <w:ind w:firstLine="1440"/>
        <w:rPr>
          <w:sz w:val="26"/>
          <w:szCs w:val="26"/>
        </w:rPr>
      </w:pPr>
      <w:r>
        <w:rPr>
          <w:sz w:val="26"/>
          <w:szCs w:val="26"/>
        </w:rPr>
        <w:t xml:space="preserve">The OTS also argues that the ALJ erred by not requiring the Companies to </w:t>
      </w:r>
      <w:r w:rsidR="00030DCE">
        <w:rPr>
          <w:sz w:val="26"/>
          <w:szCs w:val="26"/>
        </w:rPr>
        <w:t xml:space="preserve">make </w:t>
      </w:r>
      <w:r>
        <w:rPr>
          <w:sz w:val="26"/>
          <w:szCs w:val="26"/>
        </w:rPr>
        <w:t xml:space="preserve">quarterly </w:t>
      </w:r>
      <w:r w:rsidR="00030DCE">
        <w:rPr>
          <w:sz w:val="26"/>
          <w:szCs w:val="26"/>
        </w:rPr>
        <w:t xml:space="preserve">filings, so that their </w:t>
      </w:r>
      <w:r w:rsidR="002E3F47">
        <w:rPr>
          <w:sz w:val="26"/>
          <w:szCs w:val="26"/>
        </w:rPr>
        <w:t>SMT-C R</w:t>
      </w:r>
      <w:r w:rsidR="00AE14CC">
        <w:rPr>
          <w:sz w:val="26"/>
          <w:szCs w:val="26"/>
        </w:rPr>
        <w:t>iders</w:t>
      </w:r>
      <w:r w:rsidR="00030DCE">
        <w:rPr>
          <w:sz w:val="26"/>
          <w:szCs w:val="26"/>
        </w:rPr>
        <w:t xml:space="preserve"> can be reviewed and potentially adjusted</w:t>
      </w:r>
      <w:r w:rsidR="002E3F47">
        <w:rPr>
          <w:sz w:val="26"/>
          <w:szCs w:val="26"/>
        </w:rPr>
        <w:t xml:space="preserve"> more regularly</w:t>
      </w:r>
      <w:r w:rsidR="00AE14CC">
        <w:rPr>
          <w:sz w:val="26"/>
          <w:szCs w:val="26"/>
        </w:rPr>
        <w:t xml:space="preserve">.  </w:t>
      </w:r>
      <w:r w:rsidR="00030DCE">
        <w:rPr>
          <w:sz w:val="26"/>
          <w:szCs w:val="26"/>
        </w:rPr>
        <w:t>OTS Exc. at 9-13.</w:t>
      </w:r>
      <w:r w:rsidR="002F0C6C">
        <w:rPr>
          <w:sz w:val="26"/>
          <w:szCs w:val="26"/>
        </w:rPr>
        <w:t xml:space="preserve"> </w:t>
      </w:r>
      <w:r w:rsidR="00942C26">
        <w:rPr>
          <w:sz w:val="26"/>
          <w:szCs w:val="26"/>
        </w:rPr>
        <w:t xml:space="preserve"> </w:t>
      </w:r>
      <w:r w:rsidR="002F0C6C">
        <w:rPr>
          <w:sz w:val="26"/>
          <w:szCs w:val="26"/>
        </w:rPr>
        <w:t>The OTS contends that the Companies’ reasons for opposing the proposed quarterly filings are unpersuasive.  According to the OTS, the Companies should be tracking their expenditures and reviewing their projects</w:t>
      </w:r>
      <w:r w:rsidR="003040EC">
        <w:rPr>
          <w:sz w:val="26"/>
          <w:szCs w:val="26"/>
        </w:rPr>
        <w:t xml:space="preserve"> on an on-going basis</w:t>
      </w:r>
      <w:r w:rsidR="002F0C6C">
        <w:rPr>
          <w:sz w:val="26"/>
          <w:szCs w:val="26"/>
        </w:rPr>
        <w:t>, so a requirement t</w:t>
      </w:r>
      <w:r w:rsidR="003040EC">
        <w:rPr>
          <w:sz w:val="26"/>
          <w:szCs w:val="26"/>
        </w:rPr>
        <w:t>hat they</w:t>
      </w:r>
      <w:r w:rsidR="002F0C6C">
        <w:rPr>
          <w:sz w:val="26"/>
          <w:szCs w:val="26"/>
        </w:rPr>
        <w:t xml:space="preserve"> file this information with the Commission “should not be a major undertaking.”  </w:t>
      </w:r>
      <w:r w:rsidR="002F0C6C" w:rsidRPr="001A30AB">
        <w:rPr>
          <w:i/>
          <w:sz w:val="26"/>
          <w:szCs w:val="26"/>
        </w:rPr>
        <w:t>Id</w:t>
      </w:r>
      <w:r w:rsidR="002F0C6C">
        <w:rPr>
          <w:sz w:val="26"/>
          <w:szCs w:val="26"/>
        </w:rPr>
        <w:t xml:space="preserve">. at 11.  </w:t>
      </w:r>
      <w:r w:rsidR="001A30AB">
        <w:rPr>
          <w:sz w:val="26"/>
          <w:szCs w:val="26"/>
        </w:rPr>
        <w:t>The OTS further argues that there is no record evidence supporting the Companies’ claim that the Commission and the parties would incur significant additional costs as a result of the quarterly filing and review process</w:t>
      </w:r>
      <w:r w:rsidR="00941D81">
        <w:rPr>
          <w:sz w:val="26"/>
          <w:szCs w:val="26"/>
        </w:rPr>
        <w:t xml:space="preserve">.  Similarly, the OTS submits that </w:t>
      </w:r>
      <w:r w:rsidR="001A30AB">
        <w:rPr>
          <w:sz w:val="26"/>
          <w:szCs w:val="26"/>
        </w:rPr>
        <w:t xml:space="preserve">there </w:t>
      </w:r>
      <w:r w:rsidR="00941D81">
        <w:rPr>
          <w:sz w:val="26"/>
          <w:szCs w:val="26"/>
        </w:rPr>
        <w:t xml:space="preserve">is no </w:t>
      </w:r>
      <w:r w:rsidR="001A30AB">
        <w:rPr>
          <w:sz w:val="26"/>
          <w:szCs w:val="26"/>
        </w:rPr>
        <w:t>record evidence supporting the Companies’ claim that the SMT-C riders should not vary materially from quarter to quarter.</w:t>
      </w:r>
    </w:p>
    <w:p w:rsidR="009B7286" w:rsidRDefault="009B7286" w:rsidP="00673C4C">
      <w:pPr>
        <w:spacing w:line="360" w:lineRule="auto"/>
        <w:ind w:firstLine="1440"/>
        <w:rPr>
          <w:sz w:val="26"/>
          <w:szCs w:val="26"/>
        </w:rPr>
      </w:pPr>
    </w:p>
    <w:p w:rsidR="002D10B1" w:rsidRDefault="0016470C" w:rsidP="00673C4C">
      <w:pPr>
        <w:spacing w:line="360" w:lineRule="auto"/>
        <w:ind w:firstLine="1440"/>
        <w:rPr>
          <w:sz w:val="26"/>
          <w:szCs w:val="26"/>
        </w:rPr>
      </w:pPr>
      <w:r>
        <w:rPr>
          <w:sz w:val="26"/>
          <w:szCs w:val="26"/>
        </w:rPr>
        <w:lastRenderedPageBreak/>
        <w:t>With regard to the OTS’ proposal for a uniform schedule</w:t>
      </w:r>
      <w:r w:rsidR="00E740A1">
        <w:rPr>
          <w:sz w:val="26"/>
          <w:szCs w:val="26"/>
        </w:rPr>
        <w:t xml:space="preserve"> for filing dates and reconciliation periods</w:t>
      </w:r>
      <w:r>
        <w:rPr>
          <w:sz w:val="26"/>
          <w:szCs w:val="26"/>
        </w:rPr>
        <w:t>, t</w:t>
      </w:r>
      <w:r w:rsidR="009B7286">
        <w:rPr>
          <w:sz w:val="26"/>
          <w:szCs w:val="26"/>
        </w:rPr>
        <w:t xml:space="preserve">he Companies </w:t>
      </w:r>
      <w:r w:rsidR="00E740A1">
        <w:rPr>
          <w:sz w:val="26"/>
          <w:szCs w:val="26"/>
        </w:rPr>
        <w:t xml:space="preserve">argue </w:t>
      </w:r>
      <w:r w:rsidR="009B7286">
        <w:rPr>
          <w:sz w:val="26"/>
          <w:szCs w:val="26"/>
        </w:rPr>
        <w:t>that th</w:t>
      </w:r>
      <w:r w:rsidR="000269EE">
        <w:rPr>
          <w:sz w:val="26"/>
          <w:szCs w:val="26"/>
        </w:rPr>
        <w:t>e OTS offers no new arguments</w:t>
      </w:r>
      <w:r w:rsidR="00E740A1">
        <w:rPr>
          <w:sz w:val="26"/>
          <w:szCs w:val="26"/>
        </w:rPr>
        <w:t>.  The Companies submit that the OTS</w:t>
      </w:r>
      <w:r w:rsidR="000269EE">
        <w:rPr>
          <w:sz w:val="26"/>
          <w:szCs w:val="26"/>
        </w:rPr>
        <w:t xml:space="preserve"> renews arguments that were considered and </w:t>
      </w:r>
      <w:r w:rsidR="002E3F47">
        <w:rPr>
          <w:sz w:val="26"/>
          <w:szCs w:val="26"/>
        </w:rPr>
        <w:t xml:space="preserve">properly </w:t>
      </w:r>
      <w:r w:rsidR="000269EE">
        <w:rPr>
          <w:sz w:val="26"/>
          <w:szCs w:val="26"/>
        </w:rPr>
        <w:t xml:space="preserve">rejected by the ALJ.  </w:t>
      </w:r>
      <w:r w:rsidR="00E740A1">
        <w:rPr>
          <w:sz w:val="26"/>
          <w:szCs w:val="26"/>
        </w:rPr>
        <w:t>According to t</w:t>
      </w:r>
      <w:r w:rsidR="001F5B92">
        <w:rPr>
          <w:sz w:val="26"/>
          <w:szCs w:val="26"/>
        </w:rPr>
        <w:t>he Companies</w:t>
      </w:r>
      <w:r w:rsidR="00E740A1">
        <w:rPr>
          <w:sz w:val="26"/>
          <w:szCs w:val="26"/>
        </w:rPr>
        <w:t xml:space="preserve">, </w:t>
      </w:r>
      <w:r w:rsidR="001F5B92">
        <w:rPr>
          <w:sz w:val="26"/>
          <w:szCs w:val="26"/>
        </w:rPr>
        <w:t xml:space="preserve">the ALJ </w:t>
      </w:r>
      <w:r w:rsidR="002E3F47">
        <w:rPr>
          <w:sz w:val="26"/>
          <w:szCs w:val="26"/>
        </w:rPr>
        <w:t>correct</w:t>
      </w:r>
      <w:r w:rsidR="001F5B92">
        <w:rPr>
          <w:sz w:val="26"/>
          <w:szCs w:val="26"/>
        </w:rPr>
        <w:t xml:space="preserve">ly concluded that the Companies’ </w:t>
      </w:r>
      <w:r w:rsidR="00E740A1">
        <w:rPr>
          <w:sz w:val="26"/>
          <w:szCs w:val="26"/>
        </w:rPr>
        <w:t xml:space="preserve">proposed schedule </w:t>
      </w:r>
      <w:r w:rsidR="001F5B92">
        <w:rPr>
          <w:sz w:val="26"/>
          <w:szCs w:val="26"/>
        </w:rPr>
        <w:t>is reasonable and consistent with Section 1307.  The Companies reiterate their argument that the OTS’</w:t>
      </w:r>
      <w:r w:rsidR="00066031">
        <w:rPr>
          <w:sz w:val="26"/>
          <w:szCs w:val="26"/>
        </w:rPr>
        <w:t>s</w:t>
      </w:r>
      <w:r w:rsidR="001F5B92">
        <w:rPr>
          <w:sz w:val="26"/>
          <w:szCs w:val="26"/>
        </w:rPr>
        <w:t xml:space="preserve"> p</w:t>
      </w:r>
      <w:r w:rsidR="00FF3839">
        <w:rPr>
          <w:sz w:val="26"/>
          <w:szCs w:val="26"/>
        </w:rPr>
        <w:t>roposed uniform schedule would introduce a</w:t>
      </w:r>
      <w:r w:rsidR="00E740A1">
        <w:rPr>
          <w:sz w:val="26"/>
          <w:szCs w:val="26"/>
        </w:rPr>
        <w:t>n unnecessary</w:t>
      </w:r>
      <w:r w:rsidR="00FF3839">
        <w:rPr>
          <w:sz w:val="26"/>
          <w:szCs w:val="26"/>
        </w:rPr>
        <w:t xml:space="preserve"> six-month delay between the end of the Reconciliation Year and the effective date of the adjusted tariffs.  They further contend that this </w:t>
      </w:r>
      <w:r w:rsidR="000269EE">
        <w:rPr>
          <w:sz w:val="26"/>
          <w:szCs w:val="26"/>
        </w:rPr>
        <w:t xml:space="preserve">period </w:t>
      </w:r>
      <w:r w:rsidR="00FF3839">
        <w:rPr>
          <w:sz w:val="26"/>
          <w:szCs w:val="26"/>
        </w:rPr>
        <w:t xml:space="preserve">is four months longer than the </w:t>
      </w:r>
      <w:r w:rsidR="000269EE">
        <w:rPr>
          <w:sz w:val="26"/>
          <w:szCs w:val="26"/>
        </w:rPr>
        <w:t>comparable period in Section 1307 adjustment clause proceedings.</w:t>
      </w:r>
      <w:r w:rsidR="00FF3839">
        <w:rPr>
          <w:sz w:val="26"/>
          <w:szCs w:val="26"/>
        </w:rPr>
        <w:t xml:space="preserve"> </w:t>
      </w:r>
      <w:r w:rsidR="001F5B92">
        <w:rPr>
          <w:sz w:val="26"/>
          <w:szCs w:val="26"/>
        </w:rPr>
        <w:t xml:space="preserve"> </w:t>
      </w:r>
      <w:r w:rsidR="00B55DC4">
        <w:rPr>
          <w:sz w:val="26"/>
          <w:szCs w:val="26"/>
        </w:rPr>
        <w:t>FirstEnergy</w:t>
      </w:r>
      <w:r w:rsidR="001F5B92">
        <w:rPr>
          <w:sz w:val="26"/>
          <w:szCs w:val="26"/>
        </w:rPr>
        <w:t xml:space="preserve"> R.Exc. at 8-9.</w:t>
      </w:r>
    </w:p>
    <w:p w:rsidR="0016470C" w:rsidRDefault="0016470C" w:rsidP="00673C4C">
      <w:pPr>
        <w:spacing w:line="360" w:lineRule="auto"/>
        <w:ind w:firstLine="1440"/>
        <w:rPr>
          <w:sz w:val="26"/>
          <w:szCs w:val="26"/>
        </w:rPr>
      </w:pPr>
    </w:p>
    <w:p w:rsidR="0016470C" w:rsidRPr="00FF7EE9" w:rsidRDefault="00E740A1" w:rsidP="00673C4C">
      <w:pPr>
        <w:spacing w:line="360" w:lineRule="auto"/>
        <w:ind w:firstLine="1440"/>
        <w:rPr>
          <w:sz w:val="26"/>
          <w:szCs w:val="26"/>
        </w:rPr>
      </w:pPr>
      <w:r>
        <w:rPr>
          <w:sz w:val="26"/>
          <w:szCs w:val="26"/>
        </w:rPr>
        <w:t xml:space="preserve">With regard to </w:t>
      </w:r>
      <w:r w:rsidR="002E3F47">
        <w:rPr>
          <w:sz w:val="26"/>
          <w:szCs w:val="26"/>
        </w:rPr>
        <w:t xml:space="preserve">the </w:t>
      </w:r>
      <w:r>
        <w:rPr>
          <w:sz w:val="26"/>
          <w:szCs w:val="26"/>
        </w:rPr>
        <w:t>OTS’</w:t>
      </w:r>
      <w:r w:rsidR="00066031">
        <w:rPr>
          <w:sz w:val="26"/>
          <w:szCs w:val="26"/>
        </w:rPr>
        <w:t>s</w:t>
      </w:r>
      <w:r>
        <w:rPr>
          <w:sz w:val="26"/>
          <w:szCs w:val="26"/>
        </w:rPr>
        <w:t xml:space="preserve"> proposal for quarterly adjustments to the SMT-C rider, the Companies argue </w:t>
      </w:r>
      <w:r w:rsidR="00FF7EE9">
        <w:rPr>
          <w:sz w:val="26"/>
          <w:szCs w:val="26"/>
        </w:rPr>
        <w:t xml:space="preserve">that quarterly updates are not required by Act 129 or the </w:t>
      </w:r>
      <w:r w:rsidR="00FF7EE9">
        <w:rPr>
          <w:i/>
          <w:sz w:val="26"/>
          <w:szCs w:val="26"/>
        </w:rPr>
        <w:t>Implementation Order.</w:t>
      </w:r>
      <w:r w:rsidR="00FF7EE9">
        <w:rPr>
          <w:sz w:val="26"/>
          <w:szCs w:val="26"/>
        </w:rPr>
        <w:t xml:space="preserve">  They also argue that the benefits of the procedure are outweighed by the costs.  The Companies acknowledge that quarterly updates and adjustments might be appropriate where the costs being recovered are volatile, or where customers need to receive price signals about the cost of electricity, but neither situation is present here.  </w:t>
      </w:r>
      <w:r w:rsidR="008D26C7">
        <w:rPr>
          <w:sz w:val="26"/>
          <w:szCs w:val="26"/>
        </w:rPr>
        <w:t xml:space="preserve">In addition, the Companies argue there is no need for the proposal because any party may request an interim adjustment of the </w:t>
      </w:r>
      <w:r w:rsidR="005D15C4">
        <w:rPr>
          <w:sz w:val="26"/>
          <w:szCs w:val="26"/>
        </w:rPr>
        <w:t xml:space="preserve">Companies’ </w:t>
      </w:r>
      <w:r w:rsidR="008D26C7">
        <w:rPr>
          <w:sz w:val="26"/>
          <w:szCs w:val="26"/>
        </w:rPr>
        <w:t xml:space="preserve">SMT-C rider at any time to preempt a material over- or under-collection.  </w:t>
      </w:r>
      <w:r w:rsidR="00B55DC4">
        <w:rPr>
          <w:sz w:val="26"/>
          <w:szCs w:val="26"/>
        </w:rPr>
        <w:t>FirstEnergy</w:t>
      </w:r>
      <w:r w:rsidR="008D26C7">
        <w:rPr>
          <w:sz w:val="26"/>
          <w:szCs w:val="26"/>
        </w:rPr>
        <w:t xml:space="preserve"> R.Exc. at 9-10.</w:t>
      </w:r>
      <w:r w:rsidR="00FF7EE9">
        <w:rPr>
          <w:sz w:val="26"/>
          <w:szCs w:val="26"/>
        </w:rPr>
        <w:t xml:space="preserve"> </w:t>
      </w:r>
    </w:p>
    <w:p w:rsidR="00A22AAC" w:rsidRDefault="00A22AAC" w:rsidP="00A22AAC">
      <w:pPr>
        <w:spacing w:line="360" w:lineRule="auto"/>
        <w:ind w:firstLine="1440"/>
        <w:rPr>
          <w:sz w:val="26"/>
          <w:szCs w:val="26"/>
        </w:rPr>
      </w:pPr>
    </w:p>
    <w:p w:rsidR="00A22AAC" w:rsidRDefault="00A22AAC" w:rsidP="00A22AAC">
      <w:pPr>
        <w:spacing w:line="360" w:lineRule="auto"/>
        <w:ind w:firstLine="1440"/>
        <w:rPr>
          <w:sz w:val="26"/>
          <w:szCs w:val="26"/>
        </w:rPr>
      </w:pPr>
      <w:r>
        <w:rPr>
          <w:sz w:val="26"/>
          <w:szCs w:val="26"/>
        </w:rPr>
        <w:t xml:space="preserve">No other Party addressed this aspect of the Initial Decision. </w:t>
      </w:r>
    </w:p>
    <w:p w:rsidR="00A22AAC" w:rsidRPr="00A22AAC" w:rsidRDefault="00A22AAC" w:rsidP="00A22AAC">
      <w:pPr>
        <w:ind w:firstLine="1440"/>
        <w:rPr>
          <w:sz w:val="26"/>
          <w:szCs w:val="26"/>
        </w:rPr>
      </w:pPr>
    </w:p>
    <w:p w:rsidR="00EB3313" w:rsidRDefault="00EB3313" w:rsidP="00EB3313">
      <w:pPr>
        <w:pStyle w:val="Heading4"/>
        <w:rPr>
          <w:szCs w:val="26"/>
        </w:rPr>
      </w:pPr>
      <w:bookmarkStart w:id="89" w:name="_Toc259798228"/>
      <w:bookmarkStart w:id="90" w:name="_Toc263848872"/>
      <w:r w:rsidRPr="00A22AAC">
        <w:rPr>
          <w:szCs w:val="26"/>
        </w:rPr>
        <w:t>d.</w:t>
      </w:r>
      <w:r w:rsidRPr="00A22AAC">
        <w:rPr>
          <w:szCs w:val="26"/>
        </w:rPr>
        <w:tab/>
        <w:t>Disposition</w:t>
      </w:r>
      <w:bookmarkEnd w:id="89"/>
      <w:bookmarkEnd w:id="90"/>
    </w:p>
    <w:p w:rsidR="00B41817" w:rsidRPr="00B41817" w:rsidRDefault="00B41817" w:rsidP="00B41817"/>
    <w:p w:rsidR="005126B3" w:rsidRDefault="005126B3" w:rsidP="005126B3">
      <w:pPr>
        <w:spacing w:line="360" w:lineRule="auto"/>
        <w:ind w:firstLine="1350"/>
        <w:rPr>
          <w:sz w:val="26"/>
          <w:szCs w:val="26"/>
        </w:rPr>
      </w:pPr>
      <w:r>
        <w:rPr>
          <w:b/>
          <w:sz w:val="26"/>
          <w:szCs w:val="26"/>
        </w:rPr>
        <w:tab/>
      </w:r>
      <w:r>
        <w:rPr>
          <w:sz w:val="26"/>
          <w:szCs w:val="26"/>
        </w:rPr>
        <w:t xml:space="preserve">We shall </w:t>
      </w:r>
      <w:r w:rsidR="00B41817">
        <w:rPr>
          <w:sz w:val="26"/>
          <w:szCs w:val="26"/>
        </w:rPr>
        <w:t xml:space="preserve">modify the Initial Decision and </w:t>
      </w:r>
      <w:r>
        <w:rPr>
          <w:sz w:val="26"/>
          <w:szCs w:val="26"/>
        </w:rPr>
        <w:t>adopt t</w:t>
      </w:r>
      <w:r w:rsidRPr="00A00AD6">
        <w:rPr>
          <w:sz w:val="26"/>
          <w:szCs w:val="26"/>
        </w:rPr>
        <w:t>he uniform procedural schedule advocated by the O</w:t>
      </w:r>
      <w:r w:rsidR="00B41817">
        <w:rPr>
          <w:sz w:val="26"/>
          <w:szCs w:val="26"/>
        </w:rPr>
        <w:t>TS, with a 12-</w:t>
      </w:r>
      <w:r w:rsidRPr="00A00AD6">
        <w:rPr>
          <w:sz w:val="26"/>
          <w:szCs w:val="26"/>
        </w:rPr>
        <w:t>month reconciliation p</w:t>
      </w:r>
      <w:r w:rsidR="00B41817">
        <w:rPr>
          <w:sz w:val="26"/>
          <w:szCs w:val="26"/>
        </w:rPr>
        <w:t>eriod ending June 30 of each Plan</w:t>
      </w:r>
      <w:r w:rsidRPr="00A00AD6">
        <w:rPr>
          <w:sz w:val="26"/>
          <w:szCs w:val="26"/>
        </w:rPr>
        <w:t xml:space="preserve"> year,</w:t>
      </w:r>
      <w:r>
        <w:rPr>
          <w:sz w:val="26"/>
          <w:szCs w:val="26"/>
        </w:rPr>
        <w:t xml:space="preserve"> modified to only require a</w:t>
      </w:r>
      <w:r w:rsidRPr="00A00AD6">
        <w:rPr>
          <w:sz w:val="26"/>
          <w:szCs w:val="26"/>
        </w:rPr>
        <w:t xml:space="preserve">nnual filings, effective January 1 of each year, using average </w:t>
      </w:r>
      <w:r>
        <w:rPr>
          <w:sz w:val="26"/>
          <w:szCs w:val="26"/>
        </w:rPr>
        <w:t xml:space="preserve">capital </w:t>
      </w:r>
      <w:r w:rsidRPr="00A00AD6">
        <w:rPr>
          <w:sz w:val="26"/>
          <w:szCs w:val="26"/>
        </w:rPr>
        <w:t xml:space="preserve">balances.  Specifically, </w:t>
      </w:r>
      <w:r w:rsidR="00B41817">
        <w:rPr>
          <w:sz w:val="26"/>
          <w:szCs w:val="26"/>
        </w:rPr>
        <w:t xml:space="preserve">the Companies </w:t>
      </w:r>
      <w:r w:rsidRPr="00A00AD6">
        <w:rPr>
          <w:sz w:val="26"/>
          <w:szCs w:val="26"/>
        </w:rPr>
        <w:t xml:space="preserve">shall not be required to </w:t>
      </w:r>
      <w:r w:rsidRPr="00A00AD6">
        <w:rPr>
          <w:sz w:val="26"/>
          <w:szCs w:val="26"/>
        </w:rPr>
        <w:lastRenderedPageBreak/>
        <w:t xml:space="preserve">incorporate quarterly filings, but may file for interim adjustments as necessary </w:t>
      </w:r>
      <w:r w:rsidR="00B41817">
        <w:rPr>
          <w:sz w:val="26"/>
          <w:szCs w:val="26"/>
        </w:rPr>
        <w:t xml:space="preserve">to maintain a balance between </w:t>
      </w:r>
      <w:r w:rsidRPr="00A00AD6">
        <w:rPr>
          <w:sz w:val="26"/>
          <w:szCs w:val="26"/>
        </w:rPr>
        <w:t>P</w:t>
      </w:r>
      <w:r w:rsidR="00B41817">
        <w:rPr>
          <w:sz w:val="26"/>
          <w:szCs w:val="26"/>
        </w:rPr>
        <w:t>lan</w:t>
      </w:r>
      <w:r w:rsidRPr="00A00AD6">
        <w:rPr>
          <w:sz w:val="26"/>
          <w:szCs w:val="26"/>
        </w:rPr>
        <w:t xml:space="preserve"> net costs and revenues collected under a separate cost recovery mechanism under its tariff. </w:t>
      </w:r>
      <w:r>
        <w:rPr>
          <w:sz w:val="26"/>
          <w:szCs w:val="26"/>
        </w:rPr>
        <w:t xml:space="preserve">  </w:t>
      </w:r>
    </w:p>
    <w:p w:rsidR="00EB3313" w:rsidRPr="00A22AAC" w:rsidRDefault="00EB3313" w:rsidP="00EB3313">
      <w:pPr>
        <w:rPr>
          <w:sz w:val="26"/>
          <w:szCs w:val="26"/>
        </w:rPr>
      </w:pPr>
    </w:p>
    <w:p w:rsidR="0039323E" w:rsidRDefault="00A7404A" w:rsidP="0039323E">
      <w:pPr>
        <w:pStyle w:val="Heading3"/>
      </w:pPr>
      <w:bookmarkStart w:id="91" w:name="_Toc259798229"/>
      <w:bookmarkStart w:id="92" w:name="_Toc263848873"/>
      <w:r>
        <w:t>3.</w:t>
      </w:r>
      <w:r>
        <w:tab/>
        <w:t>Interest on Over- and Under-C</w:t>
      </w:r>
      <w:r w:rsidR="0039323E">
        <w:t>ollections</w:t>
      </w:r>
      <w:bookmarkEnd w:id="91"/>
      <w:bookmarkEnd w:id="92"/>
    </w:p>
    <w:p w:rsidR="006C5448" w:rsidRDefault="006C5448" w:rsidP="006C5448">
      <w:pPr>
        <w:pStyle w:val="Heading4"/>
      </w:pPr>
    </w:p>
    <w:p w:rsidR="006C5448" w:rsidRDefault="006C5448" w:rsidP="006C5448">
      <w:pPr>
        <w:pStyle w:val="Heading4"/>
      </w:pPr>
      <w:bookmarkStart w:id="93" w:name="_Toc259798230"/>
      <w:bookmarkStart w:id="94" w:name="_Toc263848874"/>
      <w:r>
        <w:t>a.</w:t>
      </w:r>
      <w:r>
        <w:tab/>
      </w:r>
      <w:r w:rsidR="00B55DC4">
        <w:t>FirstEnergy</w:t>
      </w:r>
      <w:r>
        <w:t>’s Plan</w:t>
      </w:r>
      <w:bookmarkEnd w:id="93"/>
      <w:bookmarkEnd w:id="94"/>
    </w:p>
    <w:p w:rsidR="006C5448" w:rsidRDefault="006C5448" w:rsidP="006C5448">
      <w:pPr>
        <w:spacing w:line="360" w:lineRule="auto"/>
        <w:ind w:firstLine="2160"/>
        <w:rPr>
          <w:sz w:val="26"/>
          <w:szCs w:val="26"/>
        </w:rPr>
      </w:pPr>
    </w:p>
    <w:p w:rsidR="00C70186" w:rsidRPr="005443EB" w:rsidRDefault="00C70186" w:rsidP="005443EB">
      <w:pPr>
        <w:spacing w:line="360" w:lineRule="auto"/>
        <w:ind w:firstLine="1440"/>
        <w:rPr>
          <w:sz w:val="26"/>
          <w:szCs w:val="26"/>
        </w:rPr>
      </w:pPr>
      <w:r>
        <w:rPr>
          <w:sz w:val="26"/>
          <w:szCs w:val="26"/>
        </w:rPr>
        <w:t>The Companies’ Plan calls for interest on net over- and under-collections at the</w:t>
      </w:r>
      <w:r w:rsidR="000536EF">
        <w:rPr>
          <w:sz w:val="26"/>
          <w:szCs w:val="26"/>
        </w:rPr>
        <w:t xml:space="preserve"> legal rate of six percent </w:t>
      </w:r>
      <w:r>
        <w:rPr>
          <w:sz w:val="26"/>
          <w:szCs w:val="26"/>
        </w:rPr>
        <w:t xml:space="preserve">per year.  41 P.S. § 202.  </w:t>
      </w:r>
      <w:r w:rsidR="00B55DC4">
        <w:rPr>
          <w:sz w:val="26"/>
          <w:szCs w:val="26"/>
        </w:rPr>
        <w:t>FirstEnergy</w:t>
      </w:r>
      <w:r w:rsidR="00187B87">
        <w:rPr>
          <w:sz w:val="26"/>
          <w:szCs w:val="26"/>
        </w:rPr>
        <w:t xml:space="preserve"> St. No. 3 at 9.  </w:t>
      </w:r>
      <w:r w:rsidR="00D5359F">
        <w:rPr>
          <w:sz w:val="26"/>
          <w:szCs w:val="26"/>
        </w:rPr>
        <w:t>The OTS argued that interest should apply to net over-collections</w:t>
      </w:r>
      <w:r w:rsidR="00C54C8F">
        <w:rPr>
          <w:sz w:val="26"/>
          <w:szCs w:val="26"/>
        </w:rPr>
        <w:t>,</w:t>
      </w:r>
      <w:r w:rsidR="005443EB">
        <w:rPr>
          <w:sz w:val="26"/>
          <w:szCs w:val="26"/>
        </w:rPr>
        <w:t xml:space="preserve"> but not net under-collections.  In addition, the OTS argued that interest on net over-collections should be paid at the maximum lawful rate of interest for residential mortgages published monthly in the </w:t>
      </w:r>
      <w:r w:rsidR="005443EB">
        <w:rPr>
          <w:i/>
          <w:sz w:val="26"/>
          <w:szCs w:val="26"/>
        </w:rPr>
        <w:t>Pennsylvania Bulletin.</w:t>
      </w:r>
      <w:r w:rsidR="005443EB">
        <w:rPr>
          <w:sz w:val="26"/>
          <w:szCs w:val="26"/>
        </w:rPr>
        <w:t xml:space="preserve">  OTS </w:t>
      </w:r>
      <w:r w:rsidR="00C54C8F">
        <w:rPr>
          <w:sz w:val="26"/>
          <w:szCs w:val="26"/>
        </w:rPr>
        <w:t>MB at 18.</w:t>
      </w:r>
    </w:p>
    <w:p w:rsidR="00C70186" w:rsidRDefault="00C70186" w:rsidP="006C5448">
      <w:pPr>
        <w:spacing w:line="360" w:lineRule="auto"/>
        <w:ind w:firstLine="2160"/>
        <w:rPr>
          <w:sz w:val="26"/>
          <w:szCs w:val="26"/>
        </w:rPr>
      </w:pPr>
    </w:p>
    <w:p w:rsidR="006C5448" w:rsidRDefault="006C5448" w:rsidP="006C5448">
      <w:pPr>
        <w:pStyle w:val="Heading4"/>
      </w:pPr>
      <w:bookmarkStart w:id="95" w:name="_Toc259798231"/>
      <w:bookmarkStart w:id="96" w:name="_Toc263848875"/>
      <w:r>
        <w:t>b.</w:t>
      </w:r>
      <w:r>
        <w:tab/>
        <w:t>ALJ’s Recommendation</w:t>
      </w:r>
      <w:bookmarkEnd w:id="95"/>
      <w:bookmarkEnd w:id="96"/>
    </w:p>
    <w:p w:rsidR="006C5448" w:rsidRDefault="006C5448" w:rsidP="006C5448">
      <w:pPr>
        <w:spacing w:line="360" w:lineRule="auto"/>
        <w:ind w:firstLine="2160"/>
        <w:rPr>
          <w:sz w:val="26"/>
          <w:szCs w:val="26"/>
        </w:rPr>
      </w:pPr>
    </w:p>
    <w:p w:rsidR="00E73581" w:rsidRDefault="00C54C8F" w:rsidP="00E73581">
      <w:pPr>
        <w:spacing w:line="360" w:lineRule="auto"/>
        <w:ind w:firstLine="1440"/>
        <w:rPr>
          <w:sz w:val="26"/>
          <w:szCs w:val="26"/>
        </w:rPr>
      </w:pPr>
      <w:r>
        <w:rPr>
          <w:sz w:val="26"/>
          <w:szCs w:val="26"/>
        </w:rPr>
        <w:t xml:space="preserve">The ALJ </w:t>
      </w:r>
      <w:r w:rsidR="00B433B2">
        <w:rPr>
          <w:sz w:val="26"/>
          <w:szCs w:val="26"/>
        </w:rPr>
        <w:t xml:space="preserve">concluded that </w:t>
      </w:r>
      <w:r w:rsidR="00024038">
        <w:rPr>
          <w:sz w:val="26"/>
          <w:szCs w:val="26"/>
        </w:rPr>
        <w:t>“</w:t>
      </w:r>
      <w:r w:rsidR="00B433B2">
        <w:rPr>
          <w:sz w:val="26"/>
          <w:szCs w:val="26"/>
        </w:rPr>
        <w:t>the letter of the law</w:t>
      </w:r>
      <w:r w:rsidR="00024038">
        <w:rPr>
          <w:sz w:val="26"/>
          <w:szCs w:val="26"/>
        </w:rPr>
        <w:t>”</w:t>
      </w:r>
      <w:r w:rsidR="00B433B2">
        <w:rPr>
          <w:sz w:val="26"/>
          <w:szCs w:val="26"/>
        </w:rPr>
        <w:t xml:space="preserve"> does not provide for interest on </w:t>
      </w:r>
      <w:r>
        <w:rPr>
          <w:sz w:val="26"/>
          <w:szCs w:val="26"/>
        </w:rPr>
        <w:t xml:space="preserve">net over- </w:t>
      </w:r>
      <w:r w:rsidR="00B433B2">
        <w:rPr>
          <w:sz w:val="26"/>
          <w:szCs w:val="26"/>
        </w:rPr>
        <w:t>or</w:t>
      </w:r>
      <w:r>
        <w:rPr>
          <w:sz w:val="26"/>
          <w:szCs w:val="26"/>
        </w:rPr>
        <w:t xml:space="preserve"> under-collection</w:t>
      </w:r>
      <w:r w:rsidR="00B433B2">
        <w:rPr>
          <w:sz w:val="26"/>
          <w:szCs w:val="26"/>
        </w:rPr>
        <w:t xml:space="preserve">s.  </w:t>
      </w:r>
      <w:r w:rsidR="00024038">
        <w:rPr>
          <w:sz w:val="26"/>
          <w:szCs w:val="26"/>
        </w:rPr>
        <w:t xml:space="preserve">I.D. at 43.  </w:t>
      </w:r>
      <w:r w:rsidR="00E73581">
        <w:rPr>
          <w:sz w:val="26"/>
          <w:szCs w:val="26"/>
        </w:rPr>
        <w:t xml:space="preserve">The ALJ noted that the </w:t>
      </w:r>
      <w:r w:rsidR="00E73581">
        <w:rPr>
          <w:i/>
          <w:sz w:val="26"/>
          <w:szCs w:val="26"/>
        </w:rPr>
        <w:t xml:space="preserve">Implementation Order </w:t>
      </w:r>
      <w:r w:rsidR="00E73581">
        <w:rPr>
          <w:sz w:val="26"/>
          <w:szCs w:val="26"/>
        </w:rPr>
        <w:t xml:space="preserve">refers to Section 1307(e) of the Code, 66 Pa. C.S. § 1307(e), which does not mention interest.  In contrast, Section 1307(f) of the Code, 66 Pa. C.S. § 1307(f), makes specific provision for interest in the recovery of natural gas costs. </w:t>
      </w:r>
    </w:p>
    <w:p w:rsidR="00093640" w:rsidRDefault="00093640" w:rsidP="00093640">
      <w:pPr>
        <w:ind w:left="1440" w:right="1440"/>
        <w:rPr>
          <w:sz w:val="26"/>
          <w:szCs w:val="26"/>
        </w:rPr>
      </w:pPr>
    </w:p>
    <w:p w:rsidR="007270C1" w:rsidRDefault="00093640" w:rsidP="00093640">
      <w:pPr>
        <w:ind w:left="1440" w:right="1440"/>
        <w:rPr>
          <w:sz w:val="26"/>
          <w:szCs w:val="26"/>
        </w:rPr>
      </w:pPr>
      <w:r>
        <w:rPr>
          <w:sz w:val="26"/>
          <w:szCs w:val="26"/>
        </w:rPr>
        <w:t>The Legislature included interest for subsection (f) only, and I cannot assume that the section specifically limited to the recovery of natural gas costs also applies to utilities proceeding under subsection (e).  Therefore, the interest is disallowed.</w:t>
      </w:r>
    </w:p>
    <w:p w:rsidR="00C54C8F" w:rsidRDefault="00E73581" w:rsidP="006C5448">
      <w:pPr>
        <w:spacing w:line="360" w:lineRule="auto"/>
        <w:ind w:firstLine="2160"/>
        <w:rPr>
          <w:sz w:val="26"/>
          <w:szCs w:val="26"/>
        </w:rPr>
      </w:pPr>
      <w:r>
        <w:rPr>
          <w:sz w:val="26"/>
          <w:szCs w:val="26"/>
        </w:rPr>
        <w:t xml:space="preserve"> </w:t>
      </w:r>
      <w:r w:rsidR="00C54C8F">
        <w:rPr>
          <w:sz w:val="26"/>
          <w:szCs w:val="26"/>
        </w:rPr>
        <w:t xml:space="preserve"> </w:t>
      </w:r>
    </w:p>
    <w:p w:rsidR="00C54C8F" w:rsidRDefault="00093640" w:rsidP="00093640">
      <w:pPr>
        <w:spacing w:line="360" w:lineRule="auto"/>
        <w:rPr>
          <w:sz w:val="26"/>
          <w:szCs w:val="26"/>
        </w:rPr>
      </w:pPr>
      <w:r>
        <w:rPr>
          <w:sz w:val="26"/>
          <w:szCs w:val="26"/>
        </w:rPr>
        <w:t>I.D. at 43.</w:t>
      </w:r>
    </w:p>
    <w:p w:rsidR="00093640" w:rsidRDefault="00093640" w:rsidP="00093640">
      <w:pPr>
        <w:spacing w:line="360" w:lineRule="auto"/>
        <w:rPr>
          <w:sz w:val="26"/>
          <w:szCs w:val="26"/>
        </w:rPr>
      </w:pPr>
    </w:p>
    <w:p w:rsidR="006C5448" w:rsidRDefault="006C5448" w:rsidP="006C5448">
      <w:pPr>
        <w:pStyle w:val="Heading4"/>
      </w:pPr>
      <w:bookmarkStart w:id="97" w:name="_Toc259798232"/>
      <w:bookmarkStart w:id="98" w:name="_Toc263848876"/>
      <w:r>
        <w:lastRenderedPageBreak/>
        <w:t>c.</w:t>
      </w:r>
      <w:r>
        <w:tab/>
        <w:t>Positions of the Parties</w:t>
      </w:r>
      <w:bookmarkEnd w:id="97"/>
      <w:bookmarkEnd w:id="98"/>
    </w:p>
    <w:p w:rsidR="006C5448" w:rsidRPr="00C43E0A" w:rsidRDefault="006C5448" w:rsidP="006C5448">
      <w:pPr>
        <w:rPr>
          <w:sz w:val="26"/>
          <w:szCs w:val="26"/>
        </w:rPr>
      </w:pPr>
    </w:p>
    <w:p w:rsidR="00A5065F" w:rsidRDefault="00C43E0A" w:rsidP="00C43E0A">
      <w:pPr>
        <w:spacing w:line="360" w:lineRule="auto"/>
        <w:ind w:firstLine="1440"/>
        <w:rPr>
          <w:sz w:val="26"/>
          <w:szCs w:val="26"/>
        </w:rPr>
      </w:pPr>
      <w:r w:rsidRPr="00C43E0A">
        <w:rPr>
          <w:sz w:val="26"/>
          <w:szCs w:val="26"/>
        </w:rPr>
        <w:t xml:space="preserve">The OTS agrees with the ALJ that no interest </w:t>
      </w:r>
      <w:r>
        <w:rPr>
          <w:sz w:val="26"/>
          <w:szCs w:val="26"/>
        </w:rPr>
        <w:t xml:space="preserve">should be paid on net under-collections.  The OTS, however, continues to argue that interest should be paid on net over-collections at the residential mortgage rate.  </w:t>
      </w:r>
      <w:r w:rsidR="00A5065F">
        <w:rPr>
          <w:sz w:val="26"/>
          <w:szCs w:val="26"/>
        </w:rPr>
        <w:t>OTS Exc. at 22-</w:t>
      </w:r>
      <w:r w:rsidR="006236D8">
        <w:rPr>
          <w:sz w:val="26"/>
          <w:szCs w:val="26"/>
        </w:rPr>
        <w:t>23.</w:t>
      </w:r>
    </w:p>
    <w:p w:rsidR="00A5065F" w:rsidRDefault="00A5065F" w:rsidP="00C43E0A">
      <w:pPr>
        <w:spacing w:line="360" w:lineRule="auto"/>
        <w:ind w:firstLine="1440"/>
        <w:rPr>
          <w:sz w:val="26"/>
          <w:szCs w:val="26"/>
        </w:rPr>
      </w:pPr>
    </w:p>
    <w:p w:rsidR="00C43E0A" w:rsidRDefault="00116532" w:rsidP="00C43E0A">
      <w:pPr>
        <w:spacing w:line="360" w:lineRule="auto"/>
        <w:ind w:firstLine="1440"/>
        <w:rPr>
          <w:sz w:val="26"/>
          <w:szCs w:val="26"/>
        </w:rPr>
      </w:pPr>
      <w:r>
        <w:rPr>
          <w:sz w:val="26"/>
          <w:szCs w:val="26"/>
        </w:rPr>
        <w:t>With regard to net under-collections, t</w:t>
      </w:r>
      <w:r w:rsidR="008525E2">
        <w:rPr>
          <w:sz w:val="26"/>
          <w:szCs w:val="26"/>
        </w:rPr>
        <w:t xml:space="preserve">he OTS </w:t>
      </w:r>
      <w:r w:rsidR="00A5065F">
        <w:rPr>
          <w:sz w:val="26"/>
          <w:szCs w:val="26"/>
        </w:rPr>
        <w:t xml:space="preserve">notes </w:t>
      </w:r>
      <w:r w:rsidR="008525E2">
        <w:rPr>
          <w:sz w:val="26"/>
          <w:szCs w:val="26"/>
        </w:rPr>
        <w:t>that there is a</w:t>
      </w:r>
      <w:r w:rsidR="00E57670">
        <w:rPr>
          <w:sz w:val="26"/>
          <w:szCs w:val="26"/>
        </w:rPr>
        <w:t xml:space="preserve"> return component in the SMT-C R</w:t>
      </w:r>
      <w:r w:rsidR="008525E2">
        <w:rPr>
          <w:sz w:val="26"/>
          <w:szCs w:val="26"/>
        </w:rPr>
        <w:t xml:space="preserve">ider for capitalized expenditures.  According to the OTS, </w:t>
      </w:r>
      <w:r w:rsidR="00A5065F">
        <w:rPr>
          <w:sz w:val="26"/>
          <w:szCs w:val="26"/>
        </w:rPr>
        <w:t xml:space="preserve">this permits </w:t>
      </w:r>
      <w:r w:rsidR="008525E2">
        <w:rPr>
          <w:sz w:val="26"/>
          <w:szCs w:val="26"/>
        </w:rPr>
        <w:t>th</w:t>
      </w:r>
      <w:r w:rsidR="00A5065F">
        <w:rPr>
          <w:sz w:val="26"/>
          <w:szCs w:val="26"/>
        </w:rPr>
        <w:t xml:space="preserve">e Companies to </w:t>
      </w:r>
      <w:r w:rsidR="008525E2">
        <w:rPr>
          <w:sz w:val="26"/>
          <w:szCs w:val="26"/>
        </w:rPr>
        <w:t xml:space="preserve">receive a return of and a return on their capitalized assets, which is the bulk of their </w:t>
      </w:r>
      <w:r w:rsidR="00A5065F">
        <w:rPr>
          <w:sz w:val="26"/>
          <w:szCs w:val="26"/>
        </w:rPr>
        <w:t xml:space="preserve">smart meter </w:t>
      </w:r>
      <w:r w:rsidR="008525E2">
        <w:rPr>
          <w:sz w:val="26"/>
          <w:szCs w:val="26"/>
        </w:rPr>
        <w:t>expenditures.</w:t>
      </w:r>
      <w:r w:rsidR="00A5065F">
        <w:rPr>
          <w:sz w:val="26"/>
          <w:szCs w:val="26"/>
        </w:rPr>
        <w:t xml:space="preserve">  The OTS also notes that the smart meter surcharge mechanism permits rate base recognition quicker than would occur through the base rate case process.  As a result, the OTS contends that the Companies do not need to recover interest on under-collections.</w:t>
      </w:r>
      <w:r w:rsidR="008525E2">
        <w:rPr>
          <w:sz w:val="26"/>
          <w:szCs w:val="26"/>
        </w:rPr>
        <w:t xml:space="preserve">  </w:t>
      </w:r>
      <w:r>
        <w:rPr>
          <w:i/>
          <w:sz w:val="26"/>
          <w:szCs w:val="26"/>
        </w:rPr>
        <w:t xml:space="preserve">Id. </w:t>
      </w:r>
      <w:r>
        <w:rPr>
          <w:sz w:val="26"/>
          <w:szCs w:val="26"/>
        </w:rPr>
        <w:t>at 22-24.</w:t>
      </w:r>
    </w:p>
    <w:p w:rsidR="00116532" w:rsidRDefault="00116532" w:rsidP="00C43E0A">
      <w:pPr>
        <w:spacing w:line="360" w:lineRule="auto"/>
        <w:ind w:firstLine="1440"/>
        <w:rPr>
          <w:sz w:val="26"/>
          <w:szCs w:val="26"/>
        </w:rPr>
      </w:pPr>
    </w:p>
    <w:p w:rsidR="00116532" w:rsidRDefault="00116532" w:rsidP="00C43E0A">
      <w:pPr>
        <w:spacing w:line="360" w:lineRule="auto"/>
        <w:ind w:firstLine="1440"/>
        <w:rPr>
          <w:sz w:val="26"/>
          <w:szCs w:val="26"/>
        </w:rPr>
      </w:pPr>
      <w:r>
        <w:rPr>
          <w:sz w:val="26"/>
          <w:szCs w:val="26"/>
        </w:rPr>
        <w:t xml:space="preserve">With regard to net over-collections, the OTS notes that the residential mortgage rate is the rate currently used by the Commission when calculating the DSIC.  The OTS contends that the residential mortgage rate is the proper rate to apply, in part, because “it constitutes the current and best representative cost of borrowed funds.”  </w:t>
      </w:r>
      <w:r w:rsidRPr="00116532">
        <w:rPr>
          <w:i/>
          <w:sz w:val="26"/>
          <w:szCs w:val="26"/>
        </w:rPr>
        <w:t>Id</w:t>
      </w:r>
      <w:r>
        <w:rPr>
          <w:sz w:val="26"/>
          <w:szCs w:val="26"/>
        </w:rPr>
        <w:t>. at 25.</w:t>
      </w:r>
    </w:p>
    <w:p w:rsidR="00116532" w:rsidRDefault="00116532" w:rsidP="00C43E0A">
      <w:pPr>
        <w:spacing w:line="360" w:lineRule="auto"/>
        <w:ind w:firstLine="1440"/>
        <w:rPr>
          <w:sz w:val="26"/>
          <w:szCs w:val="26"/>
        </w:rPr>
      </w:pPr>
    </w:p>
    <w:p w:rsidR="00116532" w:rsidRDefault="00B55DC4" w:rsidP="00C43E0A">
      <w:pPr>
        <w:spacing w:line="360" w:lineRule="auto"/>
        <w:ind w:firstLine="1440"/>
        <w:rPr>
          <w:sz w:val="26"/>
          <w:szCs w:val="26"/>
        </w:rPr>
      </w:pPr>
      <w:r>
        <w:rPr>
          <w:sz w:val="26"/>
          <w:szCs w:val="26"/>
        </w:rPr>
        <w:t>FirstEnergy</w:t>
      </w:r>
      <w:r w:rsidR="00116532">
        <w:rPr>
          <w:sz w:val="26"/>
          <w:szCs w:val="26"/>
        </w:rPr>
        <w:t xml:space="preserve"> also excepts to the ALJ’s conclusion regarding interest.  </w:t>
      </w:r>
      <w:r>
        <w:rPr>
          <w:sz w:val="26"/>
          <w:szCs w:val="26"/>
        </w:rPr>
        <w:t>FirstEnergy</w:t>
      </w:r>
      <w:r w:rsidR="00116532">
        <w:rPr>
          <w:sz w:val="26"/>
          <w:szCs w:val="26"/>
        </w:rPr>
        <w:t xml:space="preserve">, however, argues that the Commission should approve the Plan’s proposal for interest on net under- and over-collections at the legal rate of interest.  </w:t>
      </w:r>
      <w:r>
        <w:rPr>
          <w:sz w:val="26"/>
          <w:szCs w:val="26"/>
        </w:rPr>
        <w:t>FirstEnergy</w:t>
      </w:r>
      <w:r w:rsidR="00844306">
        <w:rPr>
          <w:sz w:val="26"/>
          <w:szCs w:val="26"/>
        </w:rPr>
        <w:t xml:space="preserve"> Exc. at 2.  </w:t>
      </w:r>
      <w:r>
        <w:rPr>
          <w:sz w:val="26"/>
          <w:szCs w:val="26"/>
        </w:rPr>
        <w:t>FirstEnergy</w:t>
      </w:r>
      <w:r w:rsidR="008D4F0E">
        <w:rPr>
          <w:sz w:val="26"/>
          <w:szCs w:val="26"/>
        </w:rPr>
        <w:t xml:space="preserve"> contends that interest on under- and over-collections is necessary to achieve the full and current recovery of costs allowed by Act 129.  66 Pa. S. </w:t>
      </w:r>
      <w:r w:rsidR="00067E2F">
        <w:rPr>
          <w:sz w:val="26"/>
          <w:szCs w:val="26"/>
        </w:rPr>
        <w:br/>
      </w:r>
      <w:r w:rsidR="008D4F0E">
        <w:rPr>
          <w:sz w:val="26"/>
          <w:szCs w:val="26"/>
        </w:rPr>
        <w:t xml:space="preserve">§ 2807(f)(7).  </w:t>
      </w:r>
      <w:r w:rsidR="00F01D24">
        <w:rPr>
          <w:sz w:val="26"/>
          <w:szCs w:val="26"/>
        </w:rPr>
        <w:t xml:space="preserve">According to </w:t>
      </w:r>
      <w:r>
        <w:rPr>
          <w:sz w:val="26"/>
          <w:szCs w:val="26"/>
        </w:rPr>
        <w:t>FirstEnergy</w:t>
      </w:r>
      <w:r w:rsidR="00F01D24">
        <w:rPr>
          <w:sz w:val="26"/>
          <w:szCs w:val="26"/>
        </w:rPr>
        <w:t xml:space="preserve">, interest on under- and over-collections is necessary to reflect the time value of money.  </w:t>
      </w:r>
      <w:r>
        <w:rPr>
          <w:sz w:val="26"/>
          <w:szCs w:val="26"/>
        </w:rPr>
        <w:t>FirstEnergy</w:t>
      </w:r>
      <w:r w:rsidR="00F01D24">
        <w:rPr>
          <w:sz w:val="26"/>
          <w:szCs w:val="26"/>
        </w:rPr>
        <w:t xml:space="preserve"> als</w:t>
      </w:r>
      <w:r w:rsidR="00B45EA2">
        <w:rPr>
          <w:sz w:val="26"/>
          <w:szCs w:val="26"/>
        </w:rPr>
        <w:t>o</w:t>
      </w:r>
      <w:r w:rsidR="00F01D24">
        <w:rPr>
          <w:sz w:val="26"/>
          <w:szCs w:val="26"/>
        </w:rPr>
        <w:t xml:space="preserve"> argues that the ALJ’s statutory interpretation is contrary to Commission precedent, which has allowed interest on net under- and over-collections in other 1307(e) proceedings.  </w:t>
      </w:r>
      <w:r w:rsidR="00B45EA2" w:rsidRPr="00B45EA2">
        <w:rPr>
          <w:i/>
          <w:sz w:val="26"/>
          <w:szCs w:val="26"/>
        </w:rPr>
        <w:t>Id</w:t>
      </w:r>
      <w:r w:rsidR="00B45EA2">
        <w:rPr>
          <w:sz w:val="26"/>
          <w:szCs w:val="26"/>
        </w:rPr>
        <w:t>. at 3-5.</w:t>
      </w:r>
    </w:p>
    <w:p w:rsidR="00B45EA2" w:rsidRDefault="00B45EA2" w:rsidP="00C43E0A">
      <w:pPr>
        <w:spacing w:line="360" w:lineRule="auto"/>
        <w:ind w:firstLine="1440"/>
        <w:rPr>
          <w:sz w:val="26"/>
          <w:szCs w:val="26"/>
        </w:rPr>
      </w:pPr>
    </w:p>
    <w:p w:rsidR="00B45EA2" w:rsidRPr="00116532" w:rsidRDefault="0039463C" w:rsidP="00123A3F">
      <w:pPr>
        <w:spacing w:line="360" w:lineRule="auto"/>
        <w:ind w:firstLine="1440"/>
        <w:rPr>
          <w:sz w:val="26"/>
          <w:szCs w:val="26"/>
        </w:rPr>
      </w:pPr>
      <w:r>
        <w:rPr>
          <w:sz w:val="26"/>
          <w:szCs w:val="26"/>
        </w:rPr>
        <w:t xml:space="preserve">The Companies </w:t>
      </w:r>
      <w:r w:rsidR="00B45EA2">
        <w:rPr>
          <w:sz w:val="26"/>
          <w:szCs w:val="26"/>
        </w:rPr>
        <w:t>oppose the OTS’</w:t>
      </w:r>
      <w:r w:rsidR="00066031">
        <w:rPr>
          <w:sz w:val="26"/>
          <w:szCs w:val="26"/>
        </w:rPr>
        <w:t>s</w:t>
      </w:r>
      <w:r w:rsidR="00B45EA2">
        <w:rPr>
          <w:sz w:val="26"/>
          <w:szCs w:val="26"/>
        </w:rPr>
        <w:t xml:space="preserve"> proposal for two reasons.  First</w:t>
      </w:r>
      <w:r>
        <w:rPr>
          <w:sz w:val="26"/>
          <w:szCs w:val="26"/>
        </w:rPr>
        <w:t xml:space="preserve">, the Companies </w:t>
      </w:r>
      <w:r w:rsidR="00B45EA2">
        <w:rPr>
          <w:sz w:val="26"/>
          <w:szCs w:val="26"/>
        </w:rPr>
        <w:t xml:space="preserve">contend there is no justification for “one-directional interest” (i.e., interest on over-collections but not under-collections).  </w:t>
      </w:r>
      <w:r>
        <w:rPr>
          <w:sz w:val="26"/>
          <w:szCs w:val="26"/>
        </w:rPr>
        <w:t xml:space="preserve">The return component in the SMT-C </w:t>
      </w:r>
      <w:r w:rsidR="00123A3F">
        <w:rPr>
          <w:sz w:val="26"/>
          <w:szCs w:val="26"/>
        </w:rPr>
        <w:t xml:space="preserve">Rider </w:t>
      </w:r>
      <w:r>
        <w:rPr>
          <w:sz w:val="26"/>
          <w:szCs w:val="26"/>
        </w:rPr>
        <w:t>does not recognize the time value of money associated with a shortfall in revenues compared to costs.  Second, the Companies s</w:t>
      </w:r>
      <w:r w:rsidR="00B45EA2">
        <w:rPr>
          <w:sz w:val="26"/>
          <w:szCs w:val="26"/>
        </w:rPr>
        <w:t xml:space="preserve">ubmit that the statutory rate of interest should apply </w:t>
      </w:r>
      <w:r w:rsidR="00EB3F07">
        <w:rPr>
          <w:sz w:val="26"/>
          <w:szCs w:val="26"/>
        </w:rPr>
        <w:t xml:space="preserve">rather than the residential mortgage rate.  </w:t>
      </w:r>
      <w:r w:rsidR="00EB3F07" w:rsidRPr="00EB3F07">
        <w:rPr>
          <w:i/>
          <w:sz w:val="26"/>
          <w:szCs w:val="26"/>
        </w:rPr>
        <w:t>Id</w:t>
      </w:r>
      <w:r w:rsidR="00EB3F07">
        <w:rPr>
          <w:sz w:val="26"/>
          <w:szCs w:val="26"/>
        </w:rPr>
        <w:t>. at 5-6</w:t>
      </w:r>
      <w:r>
        <w:rPr>
          <w:sz w:val="26"/>
          <w:szCs w:val="26"/>
        </w:rPr>
        <w:t xml:space="preserve">; </w:t>
      </w:r>
      <w:r w:rsidR="00B55DC4">
        <w:rPr>
          <w:sz w:val="26"/>
          <w:szCs w:val="26"/>
        </w:rPr>
        <w:t>FirstEnergy</w:t>
      </w:r>
      <w:r>
        <w:rPr>
          <w:sz w:val="26"/>
          <w:szCs w:val="26"/>
        </w:rPr>
        <w:t xml:space="preserve"> R.Exc. at 16-17.</w:t>
      </w:r>
    </w:p>
    <w:p w:rsidR="00C43E0A" w:rsidRDefault="00C43E0A" w:rsidP="004A425C">
      <w:pPr>
        <w:spacing w:line="360" w:lineRule="auto"/>
        <w:ind w:firstLine="1440"/>
        <w:rPr>
          <w:sz w:val="26"/>
          <w:szCs w:val="26"/>
        </w:rPr>
      </w:pPr>
    </w:p>
    <w:p w:rsidR="004A425C" w:rsidRDefault="004A425C" w:rsidP="004A425C">
      <w:pPr>
        <w:spacing w:line="360" w:lineRule="auto"/>
        <w:ind w:firstLine="1440"/>
        <w:rPr>
          <w:sz w:val="26"/>
          <w:szCs w:val="26"/>
        </w:rPr>
      </w:pPr>
      <w:r>
        <w:rPr>
          <w:sz w:val="26"/>
          <w:szCs w:val="26"/>
        </w:rPr>
        <w:t xml:space="preserve">No other Party addressed this aspect of the Initial Decision. </w:t>
      </w:r>
    </w:p>
    <w:p w:rsidR="004A425C" w:rsidRDefault="004A425C" w:rsidP="00702DBA">
      <w:pPr>
        <w:spacing w:line="360" w:lineRule="auto"/>
      </w:pPr>
    </w:p>
    <w:p w:rsidR="006C5448" w:rsidRDefault="006C5448" w:rsidP="006C5448">
      <w:pPr>
        <w:pStyle w:val="Heading4"/>
      </w:pPr>
      <w:bookmarkStart w:id="99" w:name="_Toc259798233"/>
      <w:bookmarkStart w:id="100" w:name="_Toc263848877"/>
      <w:r>
        <w:t>d.</w:t>
      </w:r>
      <w:r>
        <w:tab/>
        <w:t>Disposition</w:t>
      </w:r>
      <w:bookmarkEnd w:id="99"/>
      <w:bookmarkEnd w:id="100"/>
    </w:p>
    <w:p w:rsidR="0039323E" w:rsidRDefault="0039323E" w:rsidP="002F5812">
      <w:pPr>
        <w:spacing w:line="360" w:lineRule="auto"/>
        <w:ind w:firstLine="2160"/>
        <w:rPr>
          <w:sz w:val="26"/>
          <w:szCs w:val="26"/>
        </w:rPr>
      </w:pPr>
    </w:p>
    <w:p w:rsidR="000A6B98" w:rsidRDefault="000A6B98" w:rsidP="000A6B98">
      <w:pPr>
        <w:spacing w:line="360" w:lineRule="auto"/>
        <w:ind w:firstLine="1440"/>
        <w:rPr>
          <w:sz w:val="26"/>
          <w:szCs w:val="26"/>
        </w:rPr>
      </w:pPr>
      <w:r>
        <w:rPr>
          <w:sz w:val="26"/>
          <w:szCs w:val="26"/>
        </w:rPr>
        <w:t xml:space="preserve">The recovery of interest within a 1307(e) reconciliation mechanism is not specifically provided for within the statutory language.  However, the Commission does require Group I gas utilities to pay </w:t>
      </w:r>
      <w:r w:rsidR="00123A3F">
        <w:rPr>
          <w:sz w:val="26"/>
          <w:szCs w:val="26"/>
        </w:rPr>
        <w:t xml:space="preserve">their </w:t>
      </w:r>
      <w:r>
        <w:rPr>
          <w:sz w:val="26"/>
          <w:szCs w:val="26"/>
        </w:rPr>
        <w:t>customers interest on over-collected gas costs.  52 Pa Code § 53.66.  The Commission has also provided for the imputation of interest, at the legal rate of six percent per year, within other 1307(e) type recovery mechanisms such a</w:t>
      </w:r>
      <w:r w:rsidR="00123A3F">
        <w:rPr>
          <w:sz w:val="26"/>
          <w:szCs w:val="26"/>
        </w:rPr>
        <w:t>s Universal Service Cost Riders,</w:t>
      </w:r>
      <w:r>
        <w:rPr>
          <w:sz w:val="26"/>
          <w:szCs w:val="26"/>
        </w:rPr>
        <w:t xml:space="preserve"> Default Service Charge Riders and Consumer Education Program Cost Recovery Riders.  By providing for the imputation of interest within the</w:t>
      </w:r>
      <w:r w:rsidR="00123A3F">
        <w:rPr>
          <w:sz w:val="26"/>
          <w:szCs w:val="26"/>
        </w:rPr>
        <w:t xml:space="preserve"> SMT-C Riders,</w:t>
      </w:r>
      <w:r>
        <w:rPr>
          <w:sz w:val="26"/>
          <w:szCs w:val="26"/>
        </w:rPr>
        <w:t xml:space="preserve"> the utility is able to recover all allowable costs, including the time value of money, on a full and current basis, as allowed by Act 129.  66 Pa. </w:t>
      </w:r>
      <w:r w:rsidR="00123A3F">
        <w:rPr>
          <w:sz w:val="26"/>
          <w:szCs w:val="26"/>
        </w:rPr>
        <w:t>C.</w:t>
      </w:r>
      <w:r>
        <w:rPr>
          <w:sz w:val="26"/>
          <w:szCs w:val="26"/>
        </w:rPr>
        <w:t xml:space="preserve">S. </w:t>
      </w:r>
      <w:r w:rsidR="00123A3F">
        <w:rPr>
          <w:sz w:val="26"/>
          <w:szCs w:val="26"/>
        </w:rPr>
        <w:br/>
      </w:r>
      <w:r>
        <w:rPr>
          <w:sz w:val="26"/>
          <w:szCs w:val="26"/>
        </w:rPr>
        <w:t>§ 2807(f)(7).  If the recovery of interest were not allowed the utility would not recover all of its allowable costs.</w:t>
      </w:r>
    </w:p>
    <w:p w:rsidR="000A6B98" w:rsidRDefault="000A6B98" w:rsidP="000A6B98">
      <w:pPr>
        <w:spacing w:line="360" w:lineRule="auto"/>
        <w:ind w:firstLine="1440"/>
        <w:rPr>
          <w:sz w:val="26"/>
          <w:szCs w:val="26"/>
        </w:rPr>
      </w:pPr>
    </w:p>
    <w:p w:rsidR="000A6B98" w:rsidRDefault="000A6B98" w:rsidP="000A6B98">
      <w:pPr>
        <w:spacing w:line="360" w:lineRule="auto"/>
        <w:ind w:firstLine="1440"/>
        <w:rPr>
          <w:sz w:val="26"/>
          <w:szCs w:val="26"/>
        </w:rPr>
      </w:pPr>
      <w:r>
        <w:rPr>
          <w:sz w:val="26"/>
          <w:szCs w:val="26"/>
        </w:rPr>
        <w:t xml:space="preserve">The Companies’ Plan calls for interest on net over- and under-collections at the legal rate of six percent per year.  41 P.S. § 202.  Prior Commission decisions regarding 1307(e) recovery mechanisms have provided for the imposition of interest, at the legal rate, on both over and under-collections.  We recognize that the residential </w:t>
      </w:r>
      <w:r>
        <w:rPr>
          <w:sz w:val="26"/>
          <w:szCs w:val="26"/>
        </w:rPr>
        <w:lastRenderedPageBreak/>
        <w:t>mortgage interest rate is used in the reconciliation of other types of costs incurred by various utilities</w:t>
      </w:r>
      <w:r w:rsidR="00123A3F">
        <w:rPr>
          <w:sz w:val="26"/>
          <w:szCs w:val="26"/>
        </w:rPr>
        <w:t>.  H</w:t>
      </w:r>
      <w:r>
        <w:rPr>
          <w:sz w:val="26"/>
          <w:szCs w:val="26"/>
        </w:rPr>
        <w:t>owever</w:t>
      </w:r>
      <w:r w:rsidR="00123A3F">
        <w:rPr>
          <w:sz w:val="26"/>
          <w:szCs w:val="26"/>
        </w:rPr>
        <w:t>,</w:t>
      </w:r>
      <w:r>
        <w:rPr>
          <w:sz w:val="26"/>
          <w:szCs w:val="26"/>
        </w:rPr>
        <w:t xml:space="preserve"> we believe that the legal rate, as requested by the Companies, is reasonable and fulfills the requirement of the Act regarding full and current recovery.  Accordingly, we shall grant the Companies’ </w:t>
      </w:r>
      <w:r w:rsidR="00123A3F">
        <w:rPr>
          <w:sz w:val="26"/>
          <w:szCs w:val="26"/>
        </w:rPr>
        <w:t xml:space="preserve">Exception and </w:t>
      </w:r>
      <w:r>
        <w:rPr>
          <w:sz w:val="26"/>
          <w:szCs w:val="26"/>
        </w:rPr>
        <w:t xml:space="preserve">deny the </w:t>
      </w:r>
      <w:r w:rsidR="00123A3F">
        <w:rPr>
          <w:sz w:val="26"/>
          <w:szCs w:val="26"/>
        </w:rPr>
        <w:t>E</w:t>
      </w:r>
      <w:r>
        <w:rPr>
          <w:sz w:val="26"/>
          <w:szCs w:val="26"/>
        </w:rPr>
        <w:t>x</w:t>
      </w:r>
      <w:r w:rsidR="00123A3F">
        <w:rPr>
          <w:sz w:val="26"/>
          <w:szCs w:val="26"/>
        </w:rPr>
        <w:t>ception of the OTS with regard to interest on over- and under-collections</w:t>
      </w:r>
      <w:r>
        <w:rPr>
          <w:sz w:val="26"/>
          <w:szCs w:val="26"/>
        </w:rPr>
        <w:t>.</w:t>
      </w:r>
    </w:p>
    <w:p w:rsidR="000A6B98" w:rsidRDefault="000A6B98" w:rsidP="002F5812">
      <w:pPr>
        <w:spacing w:line="360" w:lineRule="auto"/>
        <w:ind w:firstLine="2160"/>
        <w:rPr>
          <w:sz w:val="26"/>
          <w:szCs w:val="26"/>
        </w:rPr>
      </w:pPr>
    </w:p>
    <w:p w:rsidR="00E77617" w:rsidRDefault="00E77617" w:rsidP="00E77617">
      <w:pPr>
        <w:pStyle w:val="Heading3"/>
      </w:pPr>
      <w:bookmarkStart w:id="101" w:name="_Toc259798234"/>
      <w:bookmarkStart w:id="102" w:name="_Toc263848878"/>
      <w:r>
        <w:t>4.</w:t>
      </w:r>
      <w:r>
        <w:tab/>
        <w:t>Current Recovery of Start-Up and Assessment Period Costs</w:t>
      </w:r>
      <w:bookmarkEnd w:id="101"/>
      <w:bookmarkEnd w:id="102"/>
    </w:p>
    <w:p w:rsidR="00E77617" w:rsidRDefault="00E77617" w:rsidP="00E77617">
      <w:pPr>
        <w:spacing w:line="360" w:lineRule="auto"/>
        <w:ind w:firstLine="2160"/>
        <w:rPr>
          <w:sz w:val="26"/>
          <w:szCs w:val="26"/>
        </w:rPr>
      </w:pPr>
    </w:p>
    <w:p w:rsidR="00E77617" w:rsidRDefault="00E77617" w:rsidP="00E77617">
      <w:pPr>
        <w:pStyle w:val="Heading4"/>
      </w:pPr>
      <w:bookmarkStart w:id="103" w:name="_Toc259798235"/>
      <w:bookmarkStart w:id="104" w:name="_Toc263848879"/>
      <w:r>
        <w:t>a.</w:t>
      </w:r>
      <w:r>
        <w:tab/>
      </w:r>
      <w:r w:rsidR="00B55DC4">
        <w:t>FirstEnergy</w:t>
      </w:r>
      <w:r>
        <w:t>’s Plan</w:t>
      </w:r>
      <w:bookmarkEnd w:id="103"/>
      <w:bookmarkEnd w:id="104"/>
    </w:p>
    <w:p w:rsidR="00E77617" w:rsidRDefault="00E77617" w:rsidP="00E77617">
      <w:pPr>
        <w:spacing w:line="360" w:lineRule="auto"/>
        <w:ind w:firstLine="2160"/>
        <w:rPr>
          <w:sz w:val="26"/>
          <w:szCs w:val="26"/>
        </w:rPr>
      </w:pPr>
    </w:p>
    <w:p w:rsidR="00E77617" w:rsidRDefault="00E77617" w:rsidP="00E77617">
      <w:pPr>
        <w:spacing w:line="360" w:lineRule="auto"/>
        <w:ind w:firstLine="1440"/>
        <w:rPr>
          <w:sz w:val="26"/>
          <w:szCs w:val="26"/>
        </w:rPr>
      </w:pPr>
      <w:r>
        <w:rPr>
          <w:sz w:val="26"/>
          <w:szCs w:val="26"/>
        </w:rPr>
        <w:t>As stated in the Initial Decision,</w:t>
      </w:r>
    </w:p>
    <w:p w:rsidR="00B55D33" w:rsidRDefault="00B55D33" w:rsidP="00E77617">
      <w:pPr>
        <w:ind w:left="1440" w:right="1440"/>
        <w:rPr>
          <w:sz w:val="26"/>
          <w:szCs w:val="26"/>
        </w:rPr>
      </w:pPr>
    </w:p>
    <w:p w:rsidR="00E77617" w:rsidRDefault="00E77617" w:rsidP="00E77617">
      <w:pPr>
        <w:ind w:left="1440" w:right="1440"/>
        <w:rPr>
          <w:sz w:val="26"/>
          <w:szCs w:val="26"/>
        </w:rPr>
      </w:pPr>
      <w:r>
        <w:rPr>
          <w:sz w:val="26"/>
          <w:szCs w:val="26"/>
        </w:rPr>
        <w:tab/>
        <w:t xml:space="preserve">The Companies propose that (1) administrative start-up costs incurred through the effective date of the SMT-C Riders should be deferred, accrue compound interest based on the legal rate in 41 P.S. § 202, and be recovered over the 12-month period ending March 31, 2011; and (2) the projected expenses for the 24-month Assessment Period be recovered on a current basis. </w:t>
      </w:r>
    </w:p>
    <w:p w:rsidR="00E77617" w:rsidRDefault="00E77617" w:rsidP="00E77617">
      <w:pPr>
        <w:spacing w:line="360" w:lineRule="auto"/>
        <w:ind w:firstLine="2160"/>
        <w:rPr>
          <w:sz w:val="26"/>
          <w:szCs w:val="26"/>
        </w:rPr>
      </w:pPr>
    </w:p>
    <w:p w:rsidR="00E77617" w:rsidRPr="00E77617" w:rsidRDefault="00E77617" w:rsidP="00E77617">
      <w:pPr>
        <w:spacing w:line="360" w:lineRule="auto"/>
        <w:rPr>
          <w:sz w:val="26"/>
          <w:szCs w:val="26"/>
        </w:rPr>
      </w:pPr>
      <w:r w:rsidRPr="00E77617">
        <w:rPr>
          <w:sz w:val="26"/>
          <w:szCs w:val="26"/>
        </w:rPr>
        <w:t xml:space="preserve">I.D. at 44.  </w:t>
      </w:r>
      <w:r w:rsidR="00B55D33">
        <w:rPr>
          <w:sz w:val="26"/>
          <w:szCs w:val="26"/>
        </w:rPr>
        <w:t xml:space="preserve">The </w:t>
      </w:r>
      <w:r w:rsidRPr="00E77617">
        <w:rPr>
          <w:sz w:val="26"/>
          <w:szCs w:val="26"/>
        </w:rPr>
        <w:t xml:space="preserve">OTS proposed that administrative start-up costs and Assessment Period costs be capitalized and depreciated, rather than expensed when incurred.  </w:t>
      </w:r>
      <w:r>
        <w:rPr>
          <w:sz w:val="26"/>
          <w:szCs w:val="26"/>
        </w:rPr>
        <w:t>The OTS argued</w:t>
      </w:r>
      <w:r w:rsidRPr="00E77617">
        <w:rPr>
          <w:sz w:val="26"/>
          <w:szCs w:val="26"/>
        </w:rPr>
        <w:t xml:space="preserve"> that the costs incurred to develop the infrastructure and make it operational should be treated as capital costs.  In support of i</w:t>
      </w:r>
      <w:r>
        <w:rPr>
          <w:sz w:val="26"/>
          <w:szCs w:val="26"/>
        </w:rPr>
        <w:t>ts position, the OTS also stated</w:t>
      </w:r>
      <w:r w:rsidRPr="00E77617">
        <w:rPr>
          <w:sz w:val="26"/>
          <w:szCs w:val="26"/>
        </w:rPr>
        <w:t xml:space="preserve"> t</w:t>
      </w:r>
      <w:r>
        <w:rPr>
          <w:sz w:val="26"/>
          <w:szCs w:val="26"/>
        </w:rPr>
        <w:t>hat infrastructure development</w:t>
      </w:r>
      <w:r w:rsidRPr="00E77617">
        <w:rPr>
          <w:sz w:val="26"/>
          <w:szCs w:val="26"/>
        </w:rPr>
        <w:t xml:space="preserve"> and rebuild costs are investments which will provide benefits over an extended period of time and</w:t>
      </w:r>
      <w:r>
        <w:rPr>
          <w:sz w:val="26"/>
          <w:szCs w:val="26"/>
        </w:rPr>
        <w:t>,</w:t>
      </w:r>
      <w:r w:rsidRPr="00E77617">
        <w:rPr>
          <w:sz w:val="26"/>
          <w:szCs w:val="26"/>
        </w:rPr>
        <w:t xml:space="preserve"> as such, should b</w:t>
      </w:r>
      <w:r>
        <w:rPr>
          <w:sz w:val="26"/>
          <w:szCs w:val="26"/>
        </w:rPr>
        <w:t>e depreciated over time, just like</w:t>
      </w:r>
      <w:r w:rsidRPr="00E77617">
        <w:rPr>
          <w:sz w:val="26"/>
          <w:szCs w:val="26"/>
        </w:rPr>
        <w:t xml:space="preserve"> the costs of plant investments.  Lastly, the OTS states that the ratemaking principle for plant acqui</w:t>
      </w:r>
      <w:r w:rsidR="00B55D33">
        <w:rPr>
          <w:sz w:val="26"/>
          <w:szCs w:val="26"/>
        </w:rPr>
        <w:t>sitions to be amortized over their useful liv</w:t>
      </w:r>
      <w:r w:rsidRPr="00E77617">
        <w:rPr>
          <w:sz w:val="26"/>
          <w:szCs w:val="26"/>
        </w:rPr>
        <w:t>e</w:t>
      </w:r>
      <w:r w:rsidR="00B55D33">
        <w:rPr>
          <w:sz w:val="26"/>
          <w:szCs w:val="26"/>
        </w:rPr>
        <w:t>s</w:t>
      </w:r>
      <w:r w:rsidRPr="00E77617">
        <w:rPr>
          <w:sz w:val="26"/>
          <w:szCs w:val="26"/>
        </w:rPr>
        <w:t xml:space="preserve"> should be maintained in the treatment of </w:t>
      </w:r>
      <w:r>
        <w:rPr>
          <w:sz w:val="26"/>
          <w:szCs w:val="26"/>
        </w:rPr>
        <w:t>smart meter p</w:t>
      </w:r>
      <w:r w:rsidRPr="00E77617">
        <w:rPr>
          <w:sz w:val="26"/>
          <w:szCs w:val="26"/>
        </w:rPr>
        <w:t xml:space="preserve">lan costs.  OTS MB at 20-22.     </w:t>
      </w:r>
    </w:p>
    <w:p w:rsidR="00E77617" w:rsidRDefault="00E77617" w:rsidP="00E77617">
      <w:pPr>
        <w:spacing w:line="360" w:lineRule="auto"/>
        <w:ind w:firstLine="2160"/>
        <w:rPr>
          <w:sz w:val="26"/>
          <w:szCs w:val="26"/>
        </w:rPr>
      </w:pPr>
    </w:p>
    <w:p w:rsidR="00E77617" w:rsidRDefault="00E77617" w:rsidP="00E77617">
      <w:pPr>
        <w:pStyle w:val="Heading4"/>
      </w:pPr>
      <w:bookmarkStart w:id="105" w:name="_Toc259798236"/>
      <w:bookmarkStart w:id="106" w:name="_Toc263848880"/>
      <w:r>
        <w:lastRenderedPageBreak/>
        <w:t>b.</w:t>
      </w:r>
      <w:r>
        <w:tab/>
        <w:t>ALJ’s Recommendation</w:t>
      </w:r>
      <w:bookmarkEnd w:id="105"/>
      <w:bookmarkEnd w:id="106"/>
    </w:p>
    <w:p w:rsidR="00E77617" w:rsidRDefault="00E77617" w:rsidP="00E77617">
      <w:pPr>
        <w:spacing w:line="360" w:lineRule="auto"/>
        <w:ind w:firstLine="2160"/>
        <w:rPr>
          <w:sz w:val="26"/>
          <w:szCs w:val="26"/>
        </w:rPr>
      </w:pPr>
    </w:p>
    <w:p w:rsidR="00E77617" w:rsidRDefault="00E77617" w:rsidP="00E77617">
      <w:pPr>
        <w:spacing w:line="360" w:lineRule="auto"/>
        <w:ind w:firstLine="1440"/>
        <w:rPr>
          <w:sz w:val="26"/>
          <w:szCs w:val="26"/>
        </w:rPr>
      </w:pPr>
      <w:r>
        <w:rPr>
          <w:sz w:val="26"/>
          <w:szCs w:val="26"/>
        </w:rPr>
        <w:t xml:space="preserve">The ALJ approved the Companies’ proposal regarding administrative start-up costs.  With regard to Assessment Period costs, however, the ALJ concluded that the costs in question should be capitalized over the life of the smart meter technology to which the costs relate.  I.D. at 46.  </w:t>
      </w:r>
    </w:p>
    <w:p w:rsidR="00E77617" w:rsidRDefault="00E77617" w:rsidP="00E77617">
      <w:pPr>
        <w:spacing w:line="360" w:lineRule="auto"/>
        <w:ind w:firstLine="2160"/>
        <w:rPr>
          <w:sz w:val="26"/>
          <w:szCs w:val="26"/>
        </w:rPr>
      </w:pPr>
    </w:p>
    <w:p w:rsidR="00E77617" w:rsidRPr="00E4598C" w:rsidRDefault="00E77617" w:rsidP="00E77617">
      <w:pPr>
        <w:pStyle w:val="Heading4"/>
        <w:rPr>
          <w:szCs w:val="26"/>
        </w:rPr>
      </w:pPr>
      <w:bookmarkStart w:id="107" w:name="_Toc259798237"/>
      <w:bookmarkStart w:id="108" w:name="_Toc263848881"/>
      <w:r w:rsidRPr="00E4598C">
        <w:rPr>
          <w:szCs w:val="26"/>
        </w:rPr>
        <w:t>c.</w:t>
      </w:r>
      <w:r w:rsidRPr="00E4598C">
        <w:rPr>
          <w:szCs w:val="26"/>
        </w:rPr>
        <w:tab/>
        <w:t>Positions of the Parties</w:t>
      </w:r>
      <w:bookmarkEnd w:id="107"/>
      <w:bookmarkEnd w:id="108"/>
    </w:p>
    <w:p w:rsidR="00E77617" w:rsidRPr="00E4598C" w:rsidRDefault="00E77617" w:rsidP="00E77617">
      <w:pPr>
        <w:spacing w:line="360" w:lineRule="auto"/>
        <w:rPr>
          <w:sz w:val="26"/>
          <w:szCs w:val="26"/>
        </w:rPr>
      </w:pPr>
    </w:p>
    <w:p w:rsidR="00E77617" w:rsidRPr="00E4598C" w:rsidRDefault="00E77617" w:rsidP="00E77617">
      <w:pPr>
        <w:spacing w:line="360" w:lineRule="auto"/>
        <w:ind w:firstLine="1440"/>
        <w:rPr>
          <w:sz w:val="26"/>
          <w:szCs w:val="26"/>
        </w:rPr>
      </w:pPr>
      <w:r>
        <w:rPr>
          <w:sz w:val="26"/>
          <w:szCs w:val="26"/>
        </w:rPr>
        <w:t xml:space="preserve">The OTS excepts to the ALJ’s conclusion that administrative start-up costs should be expensed.  The OTS contends that the Companies’ administrative start-up expenses are investments that provide a benefit over an extended time period, similar to any other plant investments.  An investment in physical plant should be recovered from those ratepayers who receive the benefit.  “Because the number of customers in the service territory remains fluid, it would not be appropriate to recover the costs only from those customers who are in the service territory at the beginning of the recovery period.”  OTS Exc. at 26.  Therefore, the OTS concludes, administrative start-up costs are appropriately depreciated over the life of the asset.  </w:t>
      </w:r>
      <w:r w:rsidRPr="00F02C86">
        <w:rPr>
          <w:i/>
          <w:sz w:val="26"/>
          <w:szCs w:val="26"/>
        </w:rPr>
        <w:t>Id</w:t>
      </w:r>
      <w:r>
        <w:rPr>
          <w:sz w:val="26"/>
          <w:szCs w:val="26"/>
        </w:rPr>
        <w:t xml:space="preserve">. at 25-26.      </w:t>
      </w:r>
    </w:p>
    <w:p w:rsidR="00E77617" w:rsidRPr="00E4598C" w:rsidRDefault="00E77617" w:rsidP="00E77617">
      <w:pPr>
        <w:spacing w:line="360" w:lineRule="auto"/>
        <w:rPr>
          <w:sz w:val="26"/>
          <w:szCs w:val="26"/>
        </w:rPr>
      </w:pPr>
    </w:p>
    <w:p w:rsidR="00E77617" w:rsidRDefault="00E77617" w:rsidP="00E77617">
      <w:pPr>
        <w:spacing w:line="360" w:lineRule="auto"/>
        <w:ind w:firstLine="1440"/>
        <w:rPr>
          <w:sz w:val="26"/>
          <w:szCs w:val="26"/>
        </w:rPr>
      </w:pPr>
      <w:r>
        <w:rPr>
          <w:sz w:val="26"/>
          <w:szCs w:val="26"/>
        </w:rPr>
        <w:t xml:space="preserve">The Companies except to the ALJ’s conclusion that Assessment Period costs should be capitalized over the life of the smart meter technology to which the costs relate.  The Companies state that the costs in question include research and development costs that are traditionally treated as expense items.  </w:t>
      </w:r>
      <w:r w:rsidR="00B55DC4">
        <w:rPr>
          <w:sz w:val="26"/>
          <w:szCs w:val="26"/>
        </w:rPr>
        <w:t>FirstEnergy</w:t>
      </w:r>
      <w:r>
        <w:rPr>
          <w:sz w:val="26"/>
          <w:szCs w:val="26"/>
        </w:rPr>
        <w:t xml:space="preserve"> Exc. at 3, 6-8.  The Companies further state that their proposal will moderate the impact of the Plan on customers’ rates.  According to the Companies, the expenses the Companies will incur during the Assessment Period will be relatively small, whereas the costs that will be incurred during the implementation of the Plan will be greater.  “It does not make sense to defer the recovery of Assessment Period costs from a period when SMT-C rates will be relatively low to a period when those rates will be considerably higher.”  </w:t>
      </w:r>
      <w:r w:rsidRPr="000C5F9E">
        <w:rPr>
          <w:i/>
          <w:sz w:val="26"/>
          <w:szCs w:val="26"/>
        </w:rPr>
        <w:t>Id</w:t>
      </w:r>
      <w:r>
        <w:rPr>
          <w:sz w:val="26"/>
          <w:szCs w:val="26"/>
        </w:rPr>
        <w:t>. at 7.</w:t>
      </w:r>
    </w:p>
    <w:p w:rsidR="00E77617" w:rsidRDefault="00E77617" w:rsidP="00E77617">
      <w:pPr>
        <w:spacing w:line="360" w:lineRule="auto"/>
        <w:ind w:firstLine="1440"/>
        <w:rPr>
          <w:sz w:val="26"/>
          <w:szCs w:val="26"/>
        </w:rPr>
      </w:pPr>
    </w:p>
    <w:p w:rsidR="00E77617" w:rsidRDefault="00E77617" w:rsidP="00E77617">
      <w:pPr>
        <w:spacing w:line="360" w:lineRule="auto"/>
        <w:ind w:firstLine="1440"/>
        <w:rPr>
          <w:sz w:val="26"/>
          <w:szCs w:val="26"/>
        </w:rPr>
      </w:pPr>
      <w:r>
        <w:rPr>
          <w:sz w:val="26"/>
          <w:szCs w:val="26"/>
        </w:rPr>
        <w:t>The Companies further argue that the ALJ’s decision leaves certain implementation issues unresolved.  For example, the Companies state that it is unclear whether the Companies will be permitted to earn a return on, as well as a return of, Assessment Period costs.  The Companies also state that the starting point for the recovery period has not been identified.  The Companies conclude that the OTS’</w:t>
      </w:r>
      <w:r w:rsidR="00066031">
        <w:rPr>
          <w:sz w:val="26"/>
          <w:szCs w:val="26"/>
        </w:rPr>
        <w:t>s</w:t>
      </w:r>
      <w:r>
        <w:rPr>
          <w:sz w:val="26"/>
          <w:szCs w:val="26"/>
        </w:rPr>
        <w:t xml:space="preserve"> proposal, as adopted by the ALJ, “creates levels of complexity that are not justified by the nature and amount of the Assessment Period costs to be recovered.”  </w:t>
      </w:r>
      <w:r w:rsidRPr="00741BFF">
        <w:rPr>
          <w:i/>
          <w:sz w:val="26"/>
          <w:szCs w:val="26"/>
        </w:rPr>
        <w:t>Id</w:t>
      </w:r>
      <w:r>
        <w:rPr>
          <w:sz w:val="26"/>
          <w:szCs w:val="26"/>
        </w:rPr>
        <w:t xml:space="preserve">. at 8.  </w:t>
      </w:r>
    </w:p>
    <w:p w:rsidR="00E77617" w:rsidRDefault="00E77617" w:rsidP="00E77617">
      <w:pPr>
        <w:spacing w:line="360" w:lineRule="auto"/>
        <w:ind w:firstLine="1440"/>
        <w:rPr>
          <w:sz w:val="26"/>
          <w:szCs w:val="26"/>
        </w:rPr>
      </w:pPr>
    </w:p>
    <w:p w:rsidR="00E77617" w:rsidRDefault="00E77617" w:rsidP="00E77617">
      <w:pPr>
        <w:spacing w:line="360" w:lineRule="auto"/>
        <w:ind w:firstLine="1440"/>
        <w:rPr>
          <w:sz w:val="26"/>
          <w:szCs w:val="26"/>
        </w:rPr>
      </w:pPr>
      <w:r>
        <w:rPr>
          <w:sz w:val="26"/>
          <w:szCs w:val="26"/>
        </w:rPr>
        <w:t>The OTS responds by arguing that the Assessment Period costs are not primarily research and development expenses.  According to the OTS, the expenses in question are infrastructure development and rebuild implementation costs.  That is, the OTS contends that the expenses represent plant improvements that are generally capitalized over the useful life of the items for rate-making purposes.  OTS R.Exc. at 2-3.</w:t>
      </w:r>
    </w:p>
    <w:p w:rsidR="00E77617" w:rsidRDefault="00E77617" w:rsidP="00E77617">
      <w:pPr>
        <w:spacing w:line="360" w:lineRule="auto"/>
        <w:ind w:firstLine="1440"/>
        <w:rPr>
          <w:sz w:val="26"/>
          <w:szCs w:val="26"/>
        </w:rPr>
      </w:pPr>
    </w:p>
    <w:p w:rsidR="00E77617" w:rsidRDefault="00E77617" w:rsidP="00E77617">
      <w:pPr>
        <w:spacing w:line="360" w:lineRule="auto"/>
        <w:ind w:firstLine="1440"/>
        <w:rPr>
          <w:sz w:val="26"/>
          <w:szCs w:val="26"/>
        </w:rPr>
      </w:pPr>
      <w:r>
        <w:rPr>
          <w:sz w:val="26"/>
          <w:szCs w:val="26"/>
        </w:rPr>
        <w:t xml:space="preserve">The OTS further responds by arguing that there are no significant unresolved implementation issues.  The OTS submits that its recommendation to capitalize Assessment Period costs inherently includes both the return on and return of such assets.  </w:t>
      </w:r>
      <w:r w:rsidR="00066031">
        <w:rPr>
          <w:sz w:val="26"/>
          <w:szCs w:val="26"/>
        </w:rPr>
        <w:t xml:space="preserve">The </w:t>
      </w:r>
      <w:r>
        <w:rPr>
          <w:sz w:val="26"/>
          <w:szCs w:val="26"/>
        </w:rPr>
        <w:t xml:space="preserve">OTS also submits that, implicit in its recommendation regarding the capitalization of Assessment Period costs, was the concept that the starting point for the recovery period is when the meter is placed into service.  </w:t>
      </w:r>
      <w:r w:rsidRPr="00543E6A">
        <w:rPr>
          <w:i/>
          <w:sz w:val="26"/>
          <w:szCs w:val="26"/>
        </w:rPr>
        <w:t>Id</w:t>
      </w:r>
      <w:r>
        <w:rPr>
          <w:sz w:val="26"/>
          <w:szCs w:val="26"/>
        </w:rPr>
        <w:t xml:space="preserve">. at 3-4. </w:t>
      </w:r>
    </w:p>
    <w:p w:rsidR="00E77617" w:rsidRDefault="00E77617" w:rsidP="00E77617">
      <w:pPr>
        <w:spacing w:line="360" w:lineRule="auto"/>
        <w:ind w:firstLine="1440"/>
        <w:rPr>
          <w:sz w:val="26"/>
          <w:szCs w:val="26"/>
        </w:rPr>
      </w:pPr>
    </w:p>
    <w:p w:rsidR="00E77617" w:rsidRDefault="00E77617" w:rsidP="00E77617">
      <w:pPr>
        <w:spacing w:line="360" w:lineRule="auto"/>
        <w:ind w:firstLine="1440"/>
        <w:rPr>
          <w:sz w:val="26"/>
          <w:szCs w:val="26"/>
        </w:rPr>
      </w:pPr>
      <w:r>
        <w:rPr>
          <w:sz w:val="26"/>
          <w:szCs w:val="26"/>
        </w:rPr>
        <w:t xml:space="preserve">No other Party addressed this aspect of the Initial Decision. </w:t>
      </w:r>
    </w:p>
    <w:p w:rsidR="00E77617" w:rsidRDefault="00E77617" w:rsidP="00E77617">
      <w:pPr>
        <w:spacing w:line="360" w:lineRule="auto"/>
        <w:ind w:firstLine="1440"/>
        <w:rPr>
          <w:sz w:val="26"/>
          <w:szCs w:val="26"/>
        </w:rPr>
      </w:pPr>
    </w:p>
    <w:p w:rsidR="00E77617" w:rsidRDefault="00E77617" w:rsidP="00E77617">
      <w:pPr>
        <w:pStyle w:val="Heading4"/>
      </w:pPr>
      <w:bookmarkStart w:id="109" w:name="_Toc259798238"/>
      <w:bookmarkStart w:id="110" w:name="_Toc263848882"/>
      <w:r>
        <w:t>d.</w:t>
      </w:r>
      <w:r>
        <w:tab/>
        <w:t>Disposition</w:t>
      </w:r>
      <w:bookmarkEnd w:id="109"/>
      <w:bookmarkEnd w:id="110"/>
    </w:p>
    <w:p w:rsidR="00E77617" w:rsidRDefault="00E77617" w:rsidP="00E77617">
      <w:pPr>
        <w:spacing w:line="360" w:lineRule="auto"/>
        <w:ind w:firstLine="2160"/>
        <w:rPr>
          <w:sz w:val="26"/>
          <w:szCs w:val="26"/>
        </w:rPr>
      </w:pPr>
    </w:p>
    <w:p w:rsidR="00E77617" w:rsidRDefault="00E77617" w:rsidP="00E77617">
      <w:pPr>
        <w:spacing w:line="360" w:lineRule="auto"/>
        <w:ind w:firstLine="1440"/>
        <w:rPr>
          <w:sz w:val="26"/>
          <w:szCs w:val="26"/>
        </w:rPr>
      </w:pPr>
      <w:r>
        <w:rPr>
          <w:sz w:val="26"/>
          <w:szCs w:val="26"/>
        </w:rPr>
        <w:t>Regarding the recovery of Start-Up Costs, we agree with the ALJ’s adoption of the Companies’ position.  We agree with the Compani</w:t>
      </w:r>
      <w:r w:rsidR="007D36DB">
        <w:rPr>
          <w:sz w:val="26"/>
          <w:szCs w:val="26"/>
        </w:rPr>
        <w:t>es’ rationale that recovery of start-up c</w:t>
      </w:r>
      <w:r>
        <w:rPr>
          <w:sz w:val="26"/>
          <w:szCs w:val="26"/>
        </w:rPr>
        <w:t xml:space="preserve">osts on a current basis will moderate the rate impact on customers.  </w:t>
      </w:r>
      <w:r>
        <w:rPr>
          <w:sz w:val="26"/>
          <w:szCs w:val="26"/>
        </w:rPr>
        <w:lastRenderedPageBreak/>
        <w:t xml:space="preserve">Additionally, this treatment is consistent with our treatment of </w:t>
      </w:r>
      <w:r w:rsidR="007D36DB">
        <w:rPr>
          <w:sz w:val="26"/>
          <w:szCs w:val="26"/>
        </w:rPr>
        <w:t xml:space="preserve">start-up </w:t>
      </w:r>
      <w:r>
        <w:rPr>
          <w:sz w:val="26"/>
          <w:szCs w:val="26"/>
        </w:rPr>
        <w:t>costs incurred by the Companies in their Energy Efficiency and Conservation Plans.</w:t>
      </w:r>
    </w:p>
    <w:p w:rsidR="00E77617" w:rsidRDefault="00E77617" w:rsidP="00E77617">
      <w:pPr>
        <w:spacing w:line="360" w:lineRule="auto"/>
        <w:ind w:firstLine="1440"/>
        <w:rPr>
          <w:sz w:val="26"/>
          <w:szCs w:val="26"/>
        </w:rPr>
      </w:pPr>
    </w:p>
    <w:p w:rsidR="00E77617" w:rsidRDefault="007D36DB" w:rsidP="00E77617">
      <w:pPr>
        <w:spacing w:line="360" w:lineRule="auto"/>
        <w:ind w:firstLine="1440"/>
        <w:rPr>
          <w:sz w:val="26"/>
          <w:szCs w:val="26"/>
        </w:rPr>
      </w:pPr>
      <w:r>
        <w:rPr>
          <w:sz w:val="26"/>
          <w:szCs w:val="26"/>
        </w:rPr>
        <w:t>Assessment Period c</w:t>
      </w:r>
      <w:r w:rsidR="00E77617">
        <w:rPr>
          <w:sz w:val="26"/>
          <w:szCs w:val="26"/>
        </w:rPr>
        <w:t>osts should also be recovered on a current basis, as proposed by the Companies.  The Companies state that the expenses tha</w:t>
      </w:r>
      <w:r w:rsidR="00B55D33">
        <w:rPr>
          <w:sz w:val="26"/>
          <w:szCs w:val="26"/>
        </w:rPr>
        <w:t>t will be incurred during the twenty</w:t>
      </w:r>
      <w:r w:rsidR="00E77617">
        <w:rPr>
          <w:sz w:val="26"/>
          <w:szCs w:val="26"/>
        </w:rPr>
        <w:t>-</w:t>
      </w:r>
      <w:r w:rsidR="00B55D33">
        <w:rPr>
          <w:sz w:val="26"/>
          <w:szCs w:val="26"/>
        </w:rPr>
        <w:t xml:space="preserve">four </w:t>
      </w:r>
      <w:r w:rsidR="00E77617">
        <w:rPr>
          <w:sz w:val="26"/>
          <w:szCs w:val="26"/>
        </w:rPr>
        <w:t xml:space="preserve">month Assessment Period will include costs associated with the review and testing of numerous meters and various meter infrastructure configurations as part of the Companies’ research and development efforts. </w:t>
      </w:r>
      <w:r>
        <w:rPr>
          <w:sz w:val="26"/>
          <w:szCs w:val="26"/>
        </w:rPr>
        <w:t xml:space="preserve"> </w:t>
      </w:r>
      <w:r w:rsidR="00B55DC4">
        <w:rPr>
          <w:sz w:val="26"/>
          <w:szCs w:val="26"/>
        </w:rPr>
        <w:t>FirstEnergy</w:t>
      </w:r>
      <w:r>
        <w:rPr>
          <w:sz w:val="26"/>
          <w:szCs w:val="26"/>
        </w:rPr>
        <w:t xml:space="preserve"> </w:t>
      </w:r>
      <w:r w:rsidR="00E77617">
        <w:rPr>
          <w:sz w:val="26"/>
          <w:szCs w:val="26"/>
        </w:rPr>
        <w:t xml:space="preserve">St. </w:t>
      </w:r>
      <w:r>
        <w:rPr>
          <w:sz w:val="26"/>
          <w:szCs w:val="26"/>
        </w:rPr>
        <w:t xml:space="preserve">No. </w:t>
      </w:r>
      <w:r w:rsidR="00E77617">
        <w:rPr>
          <w:sz w:val="26"/>
          <w:szCs w:val="26"/>
        </w:rPr>
        <w:t>3</w:t>
      </w:r>
      <w:r w:rsidR="00B55D33">
        <w:rPr>
          <w:sz w:val="26"/>
          <w:szCs w:val="26"/>
        </w:rPr>
        <w:t xml:space="preserve">-R, at 12; </w:t>
      </w:r>
      <w:r w:rsidR="00B55DC4">
        <w:rPr>
          <w:sz w:val="26"/>
          <w:szCs w:val="26"/>
        </w:rPr>
        <w:t>FirstEnergy</w:t>
      </w:r>
      <w:r w:rsidR="00B55D33">
        <w:rPr>
          <w:sz w:val="26"/>
          <w:szCs w:val="26"/>
        </w:rPr>
        <w:t xml:space="preserve"> M</w:t>
      </w:r>
      <w:r>
        <w:rPr>
          <w:sz w:val="26"/>
          <w:szCs w:val="26"/>
        </w:rPr>
        <w:t>B at 36</w:t>
      </w:r>
      <w:r w:rsidR="00E77617">
        <w:rPr>
          <w:sz w:val="26"/>
          <w:szCs w:val="26"/>
        </w:rPr>
        <w:t>.  We agree with the Companies</w:t>
      </w:r>
      <w:r>
        <w:rPr>
          <w:sz w:val="26"/>
          <w:szCs w:val="26"/>
        </w:rPr>
        <w:t>’</w:t>
      </w:r>
      <w:r w:rsidR="00E77617">
        <w:rPr>
          <w:sz w:val="26"/>
          <w:szCs w:val="26"/>
        </w:rPr>
        <w:t xml:space="preserve"> position that research and development costs are traditionally trea</w:t>
      </w:r>
      <w:r w:rsidR="00CD5C74">
        <w:rPr>
          <w:sz w:val="26"/>
          <w:szCs w:val="26"/>
        </w:rPr>
        <w:t>ted as an expense item for rate-</w:t>
      </w:r>
      <w:r w:rsidR="00E77617">
        <w:rPr>
          <w:sz w:val="26"/>
          <w:szCs w:val="26"/>
        </w:rPr>
        <w:t>making purposes</w:t>
      </w:r>
      <w:r w:rsidR="00CD133B">
        <w:rPr>
          <w:sz w:val="26"/>
          <w:szCs w:val="26"/>
        </w:rPr>
        <w:t>.  T</w:t>
      </w:r>
      <w:r w:rsidR="00E77617">
        <w:rPr>
          <w:sz w:val="26"/>
          <w:szCs w:val="26"/>
        </w:rPr>
        <w:t>herefore, it is appropriate to grant the Companies</w:t>
      </w:r>
      <w:r w:rsidR="00CD133B">
        <w:rPr>
          <w:sz w:val="26"/>
          <w:szCs w:val="26"/>
        </w:rPr>
        <w:t>’</w:t>
      </w:r>
      <w:r w:rsidR="00E77617">
        <w:rPr>
          <w:sz w:val="26"/>
          <w:szCs w:val="26"/>
        </w:rPr>
        <w:t xml:space="preserve"> request for recovery on a current basis for these expenditures.  Based upon the above discussion</w:t>
      </w:r>
      <w:r w:rsidR="00CD133B">
        <w:rPr>
          <w:sz w:val="26"/>
          <w:szCs w:val="26"/>
        </w:rPr>
        <w:t>, the Exception</w:t>
      </w:r>
      <w:r w:rsidR="00E77617">
        <w:rPr>
          <w:sz w:val="26"/>
          <w:szCs w:val="26"/>
        </w:rPr>
        <w:t xml:space="preserve"> of the OTS</w:t>
      </w:r>
      <w:r w:rsidR="00CD133B">
        <w:rPr>
          <w:sz w:val="26"/>
          <w:szCs w:val="26"/>
        </w:rPr>
        <w:t xml:space="preserve"> regarding start-up costs is denied, and </w:t>
      </w:r>
      <w:r w:rsidR="00E77617">
        <w:rPr>
          <w:sz w:val="26"/>
          <w:szCs w:val="26"/>
        </w:rPr>
        <w:t xml:space="preserve">the </w:t>
      </w:r>
      <w:r w:rsidR="00CD133B">
        <w:rPr>
          <w:sz w:val="26"/>
          <w:szCs w:val="26"/>
        </w:rPr>
        <w:t>Exception of the Companies regarding Assessment Period costs is granted</w:t>
      </w:r>
      <w:r w:rsidR="00E77617">
        <w:rPr>
          <w:sz w:val="26"/>
          <w:szCs w:val="26"/>
        </w:rPr>
        <w:t>.</w:t>
      </w:r>
    </w:p>
    <w:p w:rsidR="009E5516" w:rsidRDefault="009E5516" w:rsidP="002F5812">
      <w:pPr>
        <w:spacing w:line="360" w:lineRule="auto"/>
        <w:ind w:firstLine="2160"/>
        <w:rPr>
          <w:sz w:val="26"/>
          <w:szCs w:val="26"/>
        </w:rPr>
      </w:pPr>
    </w:p>
    <w:p w:rsidR="0039323E" w:rsidRDefault="008E496C" w:rsidP="008E496C">
      <w:pPr>
        <w:pStyle w:val="Heading3"/>
        <w:spacing w:line="240" w:lineRule="auto"/>
        <w:ind w:left="2160" w:hanging="720"/>
      </w:pPr>
      <w:bookmarkStart w:id="111" w:name="_Toc259798239"/>
      <w:bookmarkStart w:id="112" w:name="_Toc263848883"/>
      <w:r>
        <w:t>5.</w:t>
      </w:r>
      <w:r>
        <w:tab/>
        <w:t>Recognition of Operating Expense Reductions and Avoided Capital Costs</w:t>
      </w:r>
      <w:bookmarkEnd w:id="111"/>
      <w:bookmarkEnd w:id="112"/>
    </w:p>
    <w:p w:rsidR="008E496C" w:rsidRDefault="008E496C" w:rsidP="002F5812">
      <w:pPr>
        <w:spacing w:line="360" w:lineRule="auto"/>
        <w:ind w:firstLine="2160"/>
        <w:rPr>
          <w:sz w:val="26"/>
          <w:szCs w:val="26"/>
        </w:rPr>
      </w:pPr>
    </w:p>
    <w:p w:rsidR="006C5448" w:rsidRDefault="006C5448" w:rsidP="006C5448">
      <w:pPr>
        <w:pStyle w:val="Heading4"/>
      </w:pPr>
      <w:bookmarkStart w:id="113" w:name="_Toc259798240"/>
      <w:bookmarkStart w:id="114" w:name="_Toc263848884"/>
      <w:r>
        <w:t>a.</w:t>
      </w:r>
      <w:r>
        <w:tab/>
      </w:r>
      <w:r w:rsidR="00B55DC4">
        <w:t>FirstEnergy</w:t>
      </w:r>
      <w:r>
        <w:t>’s Plan</w:t>
      </w:r>
      <w:bookmarkEnd w:id="113"/>
      <w:bookmarkEnd w:id="114"/>
    </w:p>
    <w:p w:rsidR="006C5448" w:rsidRDefault="006C5448" w:rsidP="006C5448">
      <w:pPr>
        <w:spacing w:line="360" w:lineRule="auto"/>
        <w:ind w:firstLine="2160"/>
        <w:rPr>
          <w:sz w:val="26"/>
          <w:szCs w:val="26"/>
        </w:rPr>
      </w:pPr>
    </w:p>
    <w:p w:rsidR="007937B5" w:rsidRDefault="00F11054" w:rsidP="007937B5">
      <w:pPr>
        <w:spacing w:line="360" w:lineRule="auto"/>
        <w:ind w:firstLine="1440"/>
        <w:rPr>
          <w:sz w:val="26"/>
          <w:szCs w:val="26"/>
        </w:rPr>
      </w:pPr>
      <w:r>
        <w:rPr>
          <w:sz w:val="26"/>
          <w:szCs w:val="26"/>
        </w:rPr>
        <w:t xml:space="preserve">Act 129 permits an EDC to </w:t>
      </w:r>
      <w:r w:rsidR="007937B5">
        <w:rPr>
          <w:sz w:val="26"/>
          <w:szCs w:val="26"/>
        </w:rPr>
        <w:t>recover reasonable and prudent costs of providing smart meter technology.</w:t>
      </w:r>
    </w:p>
    <w:p w:rsidR="007937B5" w:rsidRDefault="007937B5" w:rsidP="007937B5">
      <w:pPr>
        <w:ind w:firstLine="1440"/>
        <w:rPr>
          <w:sz w:val="26"/>
          <w:szCs w:val="26"/>
        </w:rPr>
      </w:pPr>
    </w:p>
    <w:p w:rsidR="007937B5" w:rsidRPr="002F3D54" w:rsidRDefault="007937B5" w:rsidP="007937B5">
      <w:pPr>
        <w:ind w:left="1440" w:right="1440"/>
        <w:rPr>
          <w:i/>
          <w:sz w:val="26"/>
          <w:szCs w:val="26"/>
        </w:rPr>
      </w:pPr>
      <w:r>
        <w:rPr>
          <w:sz w:val="26"/>
          <w:szCs w:val="26"/>
        </w:rPr>
        <w:t xml:space="preserve">This paragraph includes annual depreciation and capital costs </w:t>
      </w:r>
      <w:r w:rsidR="002F3D54">
        <w:rPr>
          <w:sz w:val="26"/>
          <w:szCs w:val="26"/>
        </w:rPr>
        <w:t xml:space="preserve">over the life of the smart meter technology and the cost of any system upgrades that the [EDC] may require to enable the use of the smart meter technology which are incurred after the effective date of this paragraph, </w:t>
      </w:r>
      <w:r w:rsidR="002F3D54">
        <w:rPr>
          <w:i/>
          <w:sz w:val="26"/>
          <w:szCs w:val="26"/>
        </w:rPr>
        <w:t>less operating and capital cost savings realized by the [EDC] from the installation and use of the smart meter technology.</w:t>
      </w:r>
    </w:p>
    <w:p w:rsidR="007937B5" w:rsidRDefault="007937B5" w:rsidP="006C5448">
      <w:pPr>
        <w:spacing w:line="360" w:lineRule="auto"/>
        <w:ind w:firstLine="2160"/>
        <w:rPr>
          <w:sz w:val="26"/>
          <w:szCs w:val="26"/>
        </w:rPr>
      </w:pPr>
    </w:p>
    <w:p w:rsidR="00C05F12" w:rsidRDefault="002F3D54" w:rsidP="002F3D54">
      <w:pPr>
        <w:spacing w:line="360" w:lineRule="auto"/>
        <w:rPr>
          <w:sz w:val="26"/>
          <w:szCs w:val="26"/>
        </w:rPr>
      </w:pPr>
      <w:r>
        <w:rPr>
          <w:sz w:val="26"/>
          <w:szCs w:val="26"/>
        </w:rPr>
        <w:t xml:space="preserve">66 Pa. C.S. § 2807(f)(7) (emphasis added).  </w:t>
      </w:r>
    </w:p>
    <w:p w:rsidR="00C05F12" w:rsidRDefault="00C05F12" w:rsidP="002F3D54">
      <w:pPr>
        <w:spacing w:line="360" w:lineRule="auto"/>
        <w:rPr>
          <w:sz w:val="26"/>
          <w:szCs w:val="26"/>
        </w:rPr>
      </w:pPr>
    </w:p>
    <w:p w:rsidR="00D94759" w:rsidRDefault="00D94759" w:rsidP="00D94759">
      <w:pPr>
        <w:spacing w:line="360" w:lineRule="auto"/>
        <w:ind w:firstLine="1440"/>
        <w:rPr>
          <w:sz w:val="26"/>
          <w:szCs w:val="26"/>
        </w:rPr>
      </w:pPr>
      <w:r>
        <w:rPr>
          <w:sz w:val="26"/>
          <w:szCs w:val="26"/>
        </w:rPr>
        <w:t>The Companies’ Plan did not address operating and capital cost savings realized from the installation and use of smart meter technology.</w:t>
      </w:r>
      <w:r w:rsidR="00C05F12">
        <w:rPr>
          <w:sz w:val="26"/>
          <w:szCs w:val="26"/>
        </w:rPr>
        <w:t xml:space="preserve">  The OCA, however, recommended that the Companies’ SMT-C Riders be modified to explicitly state that any reduction in operating expenses or avoided capital expenditures will be deducted from the incremental costs of the Plan to determine net recoverable costs.  OCA St. No. 1 at 17-18.</w:t>
      </w:r>
    </w:p>
    <w:p w:rsidR="007937B5" w:rsidRDefault="007937B5" w:rsidP="006C5448">
      <w:pPr>
        <w:spacing w:line="360" w:lineRule="auto"/>
        <w:ind w:firstLine="2160"/>
        <w:rPr>
          <w:sz w:val="26"/>
          <w:szCs w:val="26"/>
        </w:rPr>
      </w:pPr>
    </w:p>
    <w:p w:rsidR="006C5448" w:rsidRDefault="006C5448" w:rsidP="006C5448">
      <w:pPr>
        <w:pStyle w:val="Heading4"/>
      </w:pPr>
      <w:bookmarkStart w:id="115" w:name="_Toc259798241"/>
      <w:bookmarkStart w:id="116" w:name="_Toc263848885"/>
      <w:r>
        <w:t>b.</w:t>
      </w:r>
      <w:r>
        <w:tab/>
        <w:t>ALJ’s Recommendation</w:t>
      </w:r>
      <w:bookmarkEnd w:id="115"/>
      <w:bookmarkEnd w:id="116"/>
    </w:p>
    <w:p w:rsidR="006C5448" w:rsidRDefault="006C5448" w:rsidP="006C5448">
      <w:pPr>
        <w:spacing w:line="360" w:lineRule="auto"/>
        <w:ind w:firstLine="2160"/>
        <w:rPr>
          <w:sz w:val="26"/>
          <w:szCs w:val="26"/>
        </w:rPr>
      </w:pPr>
    </w:p>
    <w:p w:rsidR="00C05F12" w:rsidRDefault="00C05F12" w:rsidP="00C05F12">
      <w:pPr>
        <w:spacing w:line="360" w:lineRule="auto"/>
        <w:ind w:firstLine="1440"/>
        <w:rPr>
          <w:sz w:val="26"/>
          <w:szCs w:val="26"/>
        </w:rPr>
      </w:pPr>
      <w:r>
        <w:rPr>
          <w:sz w:val="26"/>
          <w:szCs w:val="26"/>
        </w:rPr>
        <w:t xml:space="preserve">The ALJ found that Act 129 requires that an EDC’s tariff reflect the possibility that smart metering may result in savings for the EDC in the future.  As a result, the ALJ </w:t>
      </w:r>
      <w:r w:rsidR="001258F4">
        <w:rPr>
          <w:sz w:val="26"/>
          <w:szCs w:val="26"/>
        </w:rPr>
        <w:t xml:space="preserve">ordered </w:t>
      </w:r>
      <w:r w:rsidR="004642CF">
        <w:rPr>
          <w:sz w:val="26"/>
          <w:szCs w:val="26"/>
        </w:rPr>
        <w:t>the Companies to include wording in the</w:t>
      </w:r>
      <w:r w:rsidR="001258F4">
        <w:rPr>
          <w:sz w:val="26"/>
          <w:szCs w:val="26"/>
        </w:rPr>
        <w:t>ir</w:t>
      </w:r>
      <w:r w:rsidR="004642CF">
        <w:rPr>
          <w:sz w:val="26"/>
          <w:szCs w:val="26"/>
        </w:rPr>
        <w:t xml:space="preserve"> SMT-C Rider</w:t>
      </w:r>
      <w:r w:rsidR="001258F4">
        <w:rPr>
          <w:sz w:val="26"/>
          <w:szCs w:val="26"/>
        </w:rPr>
        <w:t>s</w:t>
      </w:r>
      <w:r w:rsidR="004642CF">
        <w:rPr>
          <w:sz w:val="26"/>
          <w:szCs w:val="26"/>
        </w:rPr>
        <w:t xml:space="preserve"> </w:t>
      </w:r>
      <w:r w:rsidR="001258F4">
        <w:rPr>
          <w:sz w:val="26"/>
          <w:szCs w:val="26"/>
        </w:rPr>
        <w:t xml:space="preserve">“to </w:t>
      </w:r>
      <w:r w:rsidR="004642CF">
        <w:rPr>
          <w:sz w:val="26"/>
          <w:szCs w:val="26"/>
        </w:rPr>
        <w:t>provid</w:t>
      </w:r>
      <w:r w:rsidR="001258F4">
        <w:rPr>
          <w:sz w:val="26"/>
          <w:szCs w:val="26"/>
        </w:rPr>
        <w:t>e</w:t>
      </w:r>
      <w:r w:rsidR="004642CF">
        <w:rPr>
          <w:sz w:val="26"/>
          <w:szCs w:val="26"/>
        </w:rPr>
        <w:t xml:space="preserve"> for operating and capital cost savings realized as a result of the smart meter installation and use of the technology.</w:t>
      </w:r>
      <w:r w:rsidR="001258F4">
        <w:rPr>
          <w:sz w:val="26"/>
          <w:szCs w:val="26"/>
        </w:rPr>
        <w:t>”</w:t>
      </w:r>
      <w:r w:rsidR="004642CF">
        <w:rPr>
          <w:sz w:val="26"/>
          <w:szCs w:val="26"/>
        </w:rPr>
        <w:t xml:space="preserve">  I.D. at 47.</w:t>
      </w:r>
    </w:p>
    <w:p w:rsidR="00C05F12" w:rsidRDefault="00C05F12" w:rsidP="006C5448">
      <w:pPr>
        <w:spacing w:line="360" w:lineRule="auto"/>
        <w:ind w:firstLine="2160"/>
        <w:rPr>
          <w:sz w:val="26"/>
          <w:szCs w:val="26"/>
        </w:rPr>
      </w:pPr>
    </w:p>
    <w:p w:rsidR="006C5448" w:rsidRDefault="006C5448" w:rsidP="006C5448">
      <w:pPr>
        <w:pStyle w:val="Heading4"/>
      </w:pPr>
      <w:bookmarkStart w:id="117" w:name="_Toc259798242"/>
      <w:bookmarkStart w:id="118" w:name="_Toc263848886"/>
      <w:r>
        <w:t>c.</w:t>
      </w:r>
      <w:r>
        <w:tab/>
        <w:t>Positions of the Parties</w:t>
      </w:r>
      <w:bookmarkEnd w:id="117"/>
      <w:bookmarkEnd w:id="118"/>
    </w:p>
    <w:p w:rsidR="006C5448" w:rsidRDefault="006C5448" w:rsidP="006C5448"/>
    <w:p w:rsidR="00524A83" w:rsidRDefault="00F20920" w:rsidP="001258F4">
      <w:pPr>
        <w:spacing w:line="360" w:lineRule="auto"/>
        <w:ind w:firstLine="1440"/>
        <w:rPr>
          <w:sz w:val="26"/>
          <w:szCs w:val="26"/>
        </w:rPr>
      </w:pPr>
      <w:r>
        <w:rPr>
          <w:sz w:val="26"/>
          <w:szCs w:val="26"/>
        </w:rPr>
        <w:t xml:space="preserve">The Companies argue that future base rate proceedings are the best place to recognize operating and capital cost savings realized as a result of the installation and use of smart meter technology.  </w:t>
      </w:r>
      <w:r w:rsidR="00524A83">
        <w:rPr>
          <w:sz w:val="26"/>
          <w:szCs w:val="26"/>
        </w:rPr>
        <w:t xml:space="preserve">According to the Companies, “the difficulty and uncertainty surrounding the quantification of such savings make future distribution base rate proceedings the best place to recognize any operational savings directly associated with the implementation of the Companies’ Smart Meter Plan.”  </w:t>
      </w:r>
      <w:r w:rsidR="00B55DC4">
        <w:rPr>
          <w:sz w:val="26"/>
          <w:szCs w:val="26"/>
        </w:rPr>
        <w:t>FirstEnergy</w:t>
      </w:r>
      <w:r w:rsidR="00524A83">
        <w:rPr>
          <w:sz w:val="26"/>
          <w:szCs w:val="26"/>
        </w:rPr>
        <w:t xml:space="preserve"> Exc. at 8.  The Companies also argue that </w:t>
      </w:r>
      <w:r w:rsidR="0042507F">
        <w:rPr>
          <w:sz w:val="26"/>
          <w:szCs w:val="26"/>
        </w:rPr>
        <w:t xml:space="preserve">savings resulting from the use of smart metering should be recognized in </w:t>
      </w:r>
      <w:r w:rsidR="00524A83">
        <w:rPr>
          <w:sz w:val="26"/>
          <w:szCs w:val="26"/>
        </w:rPr>
        <w:t xml:space="preserve">base rate proceedings because revenue reductions caused by reduced electricity consumption or shifting energy demand attributable to smart metering can only be reflected in </w:t>
      </w:r>
      <w:r w:rsidR="007B4FCD">
        <w:rPr>
          <w:sz w:val="26"/>
          <w:szCs w:val="26"/>
        </w:rPr>
        <w:t>base</w:t>
      </w:r>
      <w:r w:rsidR="00524A83">
        <w:rPr>
          <w:sz w:val="26"/>
          <w:szCs w:val="26"/>
        </w:rPr>
        <w:t xml:space="preserve"> rate proceedings.  </w:t>
      </w:r>
      <w:r w:rsidR="00524A83" w:rsidRPr="00524A83">
        <w:rPr>
          <w:i/>
          <w:sz w:val="26"/>
          <w:szCs w:val="26"/>
        </w:rPr>
        <w:t>Id</w:t>
      </w:r>
      <w:r w:rsidR="00524A83">
        <w:rPr>
          <w:sz w:val="26"/>
          <w:szCs w:val="26"/>
        </w:rPr>
        <w:t xml:space="preserve">. </w:t>
      </w:r>
    </w:p>
    <w:p w:rsidR="00524A83" w:rsidRDefault="00524A83" w:rsidP="001258F4">
      <w:pPr>
        <w:spacing w:line="360" w:lineRule="auto"/>
        <w:ind w:firstLine="1440"/>
        <w:rPr>
          <w:sz w:val="26"/>
          <w:szCs w:val="26"/>
        </w:rPr>
      </w:pPr>
    </w:p>
    <w:p w:rsidR="001258F4" w:rsidRDefault="00D341C8" w:rsidP="001258F4">
      <w:pPr>
        <w:spacing w:line="360" w:lineRule="auto"/>
        <w:ind w:firstLine="1440"/>
        <w:rPr>
          <w:sz w:val="26"/>
          <w:szCs w:val="26"/>
        </w:rPr>
      </w:pPr>
      <w:r>
        <w:rPr>
          <w:sz w:val="26"/>
          <w:szCs w:val="26"/>
        </w:rPr>
        <w:lastRenderedPageBreak/>
        <w:t>If</w:t>
      </w:r>
      <w:r w:rsidR="0042507F">
        <w:rPr>
          <w:sz w:val="26"/>
          <w:szCs w:val="26"/>
        </w:rPr>
        <w:t>, however,</w:t>
      </w:r>
      <w:r>
        <w:rPr>
          <w:sz w:val="26"/>
          <w:szCs w:val="26"/>
        </w:rPr>
        <w:t xml:space="preserve"> the Commission affirms the holding of the ALJ, the Companies ask the Commission to clarify that </w:t>
      </w:r>
      <w:r w:rsidR="009331DB">
        <w:rPr>
          <w:sz w:val="26"/>
          <w:szCs w:val="26"/>
        </w:rPr>
        <w:t>“capital cost savings” do not include</w:t>
      </w:r>
      <w:r>
        <w:rPr>
          <w:sz w:val="26"/>
          <w:szCs w:val="26"/>
        </w:rPr>
        <w:t xml:space="preserve"> future “avoided” capital costs.  The Companies argue that </w:t>
      </w:r>
      <w:r w:rsidR="00BE28B4">
        <w:rPr>
          <w:sz w:val="26"/>
          <w:szCs w:val="26"/>
        </w:rPr>
        <w:t xml:space="preserve">“avoided” costs are not currently reflected in </w:t>
      </w:r>
      <w:r w:rsidR="0021099A">
        <w:rPr>
          <w:sz w:val="26"/>
          <w:szCs w:val="26"/>
        </w:rPr>
        <w:t>rates</w:t>
      </w:r>
      <w:r w:rsidR="0042507F">
        <w:rPr>
          <w:sz w:val="26"/>
          <w:szCs w:val="26"/>
        </w:rPr>
        <w:t>.  T</w:t>
      </w:r>
      <w:r w:rsidR="0021099A">
        <w:rPr>
          <w:sz w:val="26"/>
          <w:szCs w:val="26"/>
        </w:rPr>
        <w:t xml:space="preserve">herefore, their avoidance would not reduce existing base rates.  </w:t>
      </w:r>
      <w:r w:rsidR="0042507F" w:rsidRPr="0042507F">
        <w:rPr>
          <w:i/>
          <w:sz w:val="26"/>
          <w:szCs w:val="26"/>
        </w:rPr>
        <w:t>Id</w:t>
      </w:r>
      <w:r w:rsidR="0042507F">
        <w:rPr>
          <w:sz w:val="26"/>
          <w:szCs w:val="26"/>
        </w:rPr>
        <w:t xml:space="preserve">. </w:t>
      </w:r>
      <w:r w:rsidR="00F20920">
        <w:rPr>
          <w:sz w:val="26"/>
          <w:szCs w:val="26"/>
        </w:rPr>
        <w:t xml:space="preserve">at </w:t>
      </w:r>
      <w:r>
        <w:rPr>
          <w:sz w:val="26"/>
          <w:szCs w:val="26"/>
        </w:rPr>
        <w:t>8-9.</w:t>
      </w:r>
    </w:p>
    <w:p w:rsidR="0021099A" w:rsidRDefault="0021099A" w:rsidP="001258F4">
      <w:pPr>
        <w:spacing w:line="360" w:lineRule="auto"/>
        <w:ind w:firstLine="1440"/>
        <w:rPr>
          <w:sz w:val="26"/>
          <w:szCs w:val="26"/>
        </w:rPr>
      </w:pPr>
    </w:p>
    <w:p w:rsidR="000742B8" w:rsidRDefault="0044073E" w:rsidP="001258F4">
      <w:pPr>
        <w:spacing w:line="360" w:lineRule="auto"/>
        <w:ind w:firstLine="1440"/>
        <w:rPr>
          <w:sz w:val="26"/>
          <w:szCs w:val="26"/>
        </w:rPr>
      </w:pPr>
      <w:r>
        <w:rPr>
          <w:sz w:val="26"/>
          <w:szCs w:val="26"/>
        </w:rPr>
        <w:t xml:space="preserve">In response, the OCA notes that Act 129 permits EDCs subject to the smart metering requirement to recover reasonable and prudent costs incurred, minus the savings that result from the smart meter plan.  </w:t>
      </w:r>
      <w:r w:rsidR="000742B8">
        <w:rPr>
          <w:sz w:val="26"/>
          <w:szCs w:val="26"/>
        </w:rPr>
        <w:t>The OCA notes that at least one other EDC subject to the smart metering requirement has included language in its tariff</w:t>
      </w:r>
      <w:r w:rsidR="0042507F">
        <w:rPr>
          <w:sz w:val="26"/>
          <w:szCs w:val="26"/>
        </w:rPr>
        <w:t>s</w:t>
      </w:r>
      <w:r w:rsidR="000742B8">
        <w:rPr>
          <w:sz w:val="26"/>
          <w:szCs w:val="26"/>
        </w:rPr>
        <w:t xml:space="preserve"> to account for savings resulting from its smart meter plan.  According to the OCA, Act 129 requires such language to be included in the EDC’s tariff.  OCA R.Exc. at 5.</w:t>
      </w:r>
    </w:p>
    <w:p w:rsidR="000742B8" w:rsidRDefault="000742B8" w:rsidP="001258F4">
      <w:pPr>
        <w:spacing w:line="360" w:lineRule="auto"/>
        <w:ind w:firstLine="1440"/>
        <w:rPr>
          <w:sz w:val="26"/>
          <w:szCs w:val="26"/>
        </w:rPr>
      </w:pPr>
    </w:p>
    <w:p w:rsidR="0021099A" w:rsidRDefault="007A76DF" w:rsidP="001258F4">
      <w:pPr>
        <w:spacing w:line="360" w:lineRule="auto"/>
        <w:ind w:firstLine="1440"/>
        <w:rPr>
          <w:sz w:val="26"/>
          <w:szCs w:val="26"/>
        </w:rPr>
      </w:pPr>
      <w:r>
        <w:rPr>
          <w:sz w:val="26"/>
          <w:szCs w:val="26"/>
        </w:rPr>
        <w:t xml:space="preserve">The OCA </w:t>
      </w:r>
      <w:r w:rsidR="0044073E">
        <w:rPr>
          <w:sz w:val="26"/>
          <w:szCs w:val="26"/>
        </w:rPr>
        <w:t>further notes</w:t>
      </w:r>
      <w:r w:rsidR="00877EC8">
        <w:rPr>
          <w:sz w:val="26"/>
          <w:szCs w:val="26"/>
        </w:rPr>
        <w:t xml:space="preserve"> that Act 129 gives </w:t>
      </w:r>
      <w:r w:rsidR="000742B8">
        <w:rPr>
          <w:sz w:val="26"/>
          <w:szCs w:val="26"/>
        </w:rPr>
        <w:t>each EDC</w:t>
      </w:r>
      <w:r w:rsidR="0044073E">
        <w:rPr>
          <w:sz w:val="26"/>
          <w:szCs w:val="26"/>
        </w:rPr>
        <w:t xml:space="preserve"> subject to the smart metering requirement </w:t>
      </w:r>
      <w:r w:rsidR="00877EC8">
        <w:rPr>
          <w:sz w:val="26"/>
          <w:szCs w:val="26"/>
        </w:rPr>
        <w:t xml:space="preserve">an option </w:t>
      </w:r>
      <w:r w:rsidR="0044073E">
        <w:rPr>
          <w:sz w:val="26"/>
          <w:szCs w:val="26"/>
        </w:rPr>
        <w:t xml:space="preserve">as </w:t>
      </w:r>
      <w:r w:rsidR="00877EC8">
        <w:rPr>
          <w:sz w:val="26"/>
          <w:szCs w:val="26"/>
        </w:rPr>
        <w:t xml:space="preserve">to </w:t>
      </w:r>
      <w:r w:rsidR="000742B8">
        <w:rPr>
          <w:sz w:val="26"/>
          <w:szCs w:val="26"/>
        </w:rPr>
        <w:t xml:space="preserve">how to recover its </w:t>
      </w:r>
      <w:r w:rsidR="0044073E">
        <w:rPr>
          <w:sz w:val="26"/>
          <w:szCs w:val="26"/>
        </w:rPr>
        <w:t xml:space="preserve">costs.  </w:t>
      </w:r>
      <w:r w:rsidR="00877EC8">
        <w:rPr>
          <w:sz w:val="26"/>
          <w:szCs w:val="26"/>
        </w:rPr>
        <w:t xml:space="preserve">The EDC can recover the costs of its smart meter plan through base rates or through a Section 1307 reconcilable automatic adjustment </w:t>
      </w:r>
      <w:r w:rsidR="0044073E">
        <w:rPr>
          <w:sz w:val="26"/>
          <w:szCs w:val="26"/>
        </w:rPr>
        <w:t>mechanism</w:t>
      </w:r>
      <w:r w:rsidR="00877EC8">
        <w:rPr>
          <w:sz w:val="26"/>
          <w:szCs w:val="26"/>
        </w:rPr>
        <w:t xml:space="preserve">.  </w:t>
      </w:r>
      <w:r w:rsidR="0044073E">
        <w:rPr>
          <w:sz w:val="26"/>
          <w:szCs w:val="26"/>
        </w:rPr>
        <w:t xml:space="preserve">In this case, the Companies chose to recover their costs through a Section 1307 automatic adjustment mechanism.  Therefore, the OCA concludes, the Companies must account for savings </w:t>
      </w:r>
      <w:r w:rsidR="00FB41F4">
        <w:rPr>
          <w:sz w:val="26"/>
          <w:szCs w:val="26"/>
        </w:rPr>
        <w:t xml:space="preserve">as a result of smart metering in the automatic adjustment mechanism.  </w:t>
      </w:r>
      <w:r w:rsidR="001A1D34">
        <w:rPr>
          <w:sz w:val="26"/>
          <w:szCs w:val="26"/>
        </w:rPr>
        <w:t>OCA R.Exc. at 2-6.</w:t>
      </w:r>
    </w:p>
    <w:p w:rsidR="000E7553" w:rsidRDefault="000E7553" w:rsidP="001258F4">
      <w:pPr>
        <w:spacing w:line="360" w:lineRule="auto"/>
        <w:ind w:firstLine="1440"/>
        <w:rPr>
          <w:sz w:val="26"/>
          <w:szCs w:val="26"/>
        </w:rPr>
      </w:pPr>
    </w:p>
    <w:p w:rsidR="006C73ED" w:rsidRDefault="006C73ED" w:rsidP="006C73ED">
      <w:pPr>
        <w:spacing w:line="360" w:lineRule="auto"/>
        <w:ind w:firstLine="1440"/>
        <w:rPr>
          <w:sz w:val="26"/>
          <w:szCs w:val="26"/>
        </w:rPr>
      </w:pPr>
      <w:r>
        <w:rPr>
          <w:sz w:val="26"/>
          <w:szCs w:val="26"/>
        </w:rPr>
        <w:t xml:space="preserve">No other Party addressed this aspect of the Initial Decision. </w:t>
      </w:r>
    </w:p>
    <w:p w:rsidR="001258F4" w:rsidRDefault="001258F4" w:rsidP="006C5448"/>
    <w:p w:rsidR="006C5448" w:rsidRDefault="006C5448" w:rsidP="006C5448">
      <w:pPr>
        <w:pStyle w:val="Heading4"/>
      </w:pPr>
      <w:bookmarkStart w:id="119" w:name="_Toc259798243"/>
      <w:bookmarkStart w:id="120" w:name="_Toc263848887"/>
      <w:r>
        <w:t>d.</w:t>
      </w:r>
      <w:r>
        <w:tab/>
        <w:t>Disposition</w:t>
      </w:r>
      <w:bookmarkEnd w:id="119"/>
      <w:bookmarkEnd w:id="120"/>
    </w:p>
    <w:p w:rsidR="000A6B98" w:rsidRDefault="000A6B98" w:rsidP="000A6B98">
      <w:pPr>
        <w:spacing w:line="360" w:lineRule="auto"/>
        <w:ind w:firstLine="1440"/>
        <w:rPr>
          <w:sz w:val="26"/>
          <w:szCs w:val="26"/>
        </w:rPr>
      </w:pPr>
    </w:p>
    <w:p w:rsidR="000A6B98" w:rsidRDefault="000A6B98" w:rsidP="000A6B98">
      <w:pPr>
        <w:spacing w:line="360" w:lineRule="auto"/>
        <w:ind w:firstLine="1440"/>
        <w:rPr>
          <w:sz w:val="26"/>
          <w:szCs w:val="26"/>
        </w:rPr>
      </w:pPr>
      <w:r>
        <w:rPr>
          <w:sz w:val="26"/>
          <w:szCs w:val="26"/>
        </w:rPr>
        <w:t xml:space="preserve">We believe that the ALJ’s recommendation is correct in that Act 129 requires an EDC’s tariff </w:t>
      </w:r>
      <w:r w:rsidR="00F11054">
        <w:rPr>
          <w:sz w:val="26"/>
          <w:szCs w:val="26"/>
        </w:rPr>
        <w:t xml:space="preserve">to </w:t>
      </w:r>
      <w:r>
        <w:rPr>
          <w:sz w:val="26"/>
          <w:szCs w:val="26"/>
        </w:rPr>
        <w:t xml:space="preserve">reflect the possibility that smart metering may result in savings for the EDC in the future.  As a result, the ALJ </w:t>
      </w:r>
      <w:r w:rsidR="00F11054">
        <w:rPr>
          <w:sz w:val="26"/>
          <w:szCs w:val="26"/>
        </w:rPr>
        <w:t xml:space="preserve">properly </w:t>
      </w:r>
      <w:r>
        <w:rPr>
          <w:sz w:val="26"/>
          <w:szCs w:val="26"/>
        </w:rPr>
        <w:t xml:space="preserve">ordered the Companies to include wording in their SMT-C Riders “to provide for operating and capital cost </w:t>
      </w:r>
      <w:r>
        <w:rPr>
          <w:sz w:val="26"/>
          <w:szCs w:val="26"/>
        </w:rPr>
        <w:lastRenderedPageBreak/>
        <w:t>savings realized as a result of the smart meter installation and use of the technology.”  66 Pa. C.S. § 2807(f)(7).</w:t>
      </w:r>
    </w:p>
    <w:p w:rsidR="000A6B98" w:rsidRDefault="000A6B98" w:rsidP="000A6B98">
      <w:pPr>
        <w:spacing w:line="360" w:lineRule="auto"/>
        <w:ind w:firstLine="1440"/>
        <w:rPr>
          <w:sz w:val="26"/>
          <w:szCs w:val="26"/>
        </w:rPr>
      </w:pPr>
    </w:p>
    <w:p w:rsidR="000A6B98" w:rsidRDefault="000A6B98" w:rsidP="000A6B98">
      <w:pPr>
        <w:spacing w:line="360" w:lineRule="auto"/>
        <w:ind w:firstLine="1440"/>
        <w:rPr>
          <w:sz w:val="26"/>
          <w:szCs w:val="26"/>
        </w:rPr>
      </w:pPr>
      <w:r>
        <w:rPr>
          <w:sz w:val="26"/>
          <w:szCs w:val="26"/>
        </w:rPr>
        <w:t>To accomplish this requirement of the Act, PECO has included the following language in its tariff:</w:t>
      </w:r>
    </w:p>
    <w:p w:rsidR="00F11054" w:rsidRDefault="00F11054" w:rsidP="000A6B98">
      <w:pPr>
        <w:ind w:left="1440" w:right="1440"/>
        <w:rPr>
          <w:sz w:val="26"/>
          <w:szCs w:val="26"/>
        </w:rPr>
      </w:pPr>
    </w:p>
    <w:p w:rsidR="000A6B98" w:rsidRDefault="000A6B98" w:rsidP="000A6B98">
      <w:pPr>
        <w:ind w:left="1440" w:right="1440"/>
        <w:rPr>
          <w:sz w:val="26"/>
          <w:szCs w:val="26"/>
        </w:rPr>
      </w:pPr>
      <w:r>
        <w:rPr>
          <w:sz w:val="26"/>
          <w:szCs w:val="26"/>
        </w:rPr>
        <w:t>Any reductions in operating expenses or avoided capital expenditures due to the Smart Metering Program will be deducted from the incremental costs of the Smart Meter Program to derive the net incremental cost of the Program that is recoverable.  Such reductions shall include any reductions in the Company’s current meter and meter reading costs.</w:t>
      </w:r>
    </w:p>
    <w:p w:rsidR="000A6B98" w:rsidRDefault="000A6B98" w:rsidP="000A6B98">
      <w:pPr>
        <w:ind w:left="1440" w:right="1440"/>
        <w:rPr>
          <w:sz w:val="26"/>
          <w:szCs w:val="26"/>
        </w:rPr>
      </w:pPr>
    </w:p>
    <w:p w:rsidR="000A6B98" w:rsidRDefault="00F11054" w:rsidP="00F11054">
      <w:pPr>
        <w:spacing w:line="360" w:lineRule="auto"/>
        <w:rPr>
          <w:sz w:val="26"/>
          <w:szCs w:val="26"/>
        </w:rPr>
      </w:pPr>
      <w:r>
        <w:rPr>
          <w:sz w:val="26"/>
          <w:szCs w:val="26"/>
        </w:rPr>
        <w:t>OCA St. No. 1 at 17</w:t>
      </w:r>
      <w:r w:rsidR="000A6B98">
        <w:rPr>
          <w:sz w:val="26"/>
          <w:szCs w:val="26"/>
        </w:rPr>
        <w:t>; OCA R.Exc. at 5; PECO Joint Petition for Partial Settlement, Attachment A – Smart Meter Cost Recovery Surcharge filed on November 25, 2009 at Docket No. M-2009-2123944.</w:t>
      </w:r>
    </w:p>
    <w:p w:rsidR="000A6B98" w:rsidRDefault="000A6B98" w:rsidP="000A6B98">
      <w:pPr>
        <w:spacing w:line="360" w:lineRule="auto"/>
        <w:ind w:firstLine="1440"/>
        <w:rPr>
          <w:sz w:val="26"/>
          <w:szCs w:val="26"/>
        </w:rPr>
      </w:pPr>
    </w:p>
    <w:p w:rsidR="000A6B98" w:rsidRDefault="000A6B98" w:rsidP="000A6B98">
      <w:pPr>
        <w:spacing w:line="360" w:lineRule="auto"/>
        <w:ind w:firstLine="1440"/>
        <w:rPr>
          <w:sz w:val="26"/>
          <w:szCs w:val="26"/>
        </w:rPr>
      </w:pPr>
      <w:r>
        <w:rPr>
          <w:sz w:val="26"/>
          <w:szCs w:val="26"/>
        </w:rPr>
        <w:t>Regarding where the cost savings attributable to the smart meter program should be reflected</w:t>
      </w:r>
      <w:r w:rsidR="00F11054">
        <w:rPr>
          <w:sz w:val="26"/>
          <w:szCs w:val="26"/>
        </w:rPr>
        <w:t>,</w:t>
      </w:r>
      <w:r>
        <w:rPr>
          <w:sz w:val="26"/>
          <w:szCs w:val="26"/>
        </w:rPr>
        <w:t xml:space="preserve"> the Companies state that a future base rate proceeding is the appropriate venue.  We disagree.  The Companies selected the use of a reconcilable</w:t>
      </w:r>
      <w:r w:rsidR="00F11054">
        <w:rPr>
          <w:sz w:val="26"/>
          <w:szCs w:val="26"/>
        </w:rPr>
        <w:t xml:space="preserve"> adjustment</w:t>
      </w:r>
      <w:r>
        <w:rPr>
          <w:sz w:val="26"/>
          <w:szCs w:val="26"/>
        </w:rPr>
        <w:t xml:space="preserve"> mechanism in lieu of a base rate proceeding to recover their Plan costs</w:t>
      </w:r>
      <w:r w:rsidR="00F11054">
        <w:rPr>
          <w:sz w:val="26"/>
          <w:szCs w:val="26"/>
        </w:rPr>
        <w:t>.  T</w:t>
      </w:r>
      <w:r>
        <w:rPr>
          <w:sz w:val="26"/>
          <w:szCs w:val="26"/>
        </w:rPr>
        <w:t>herefore</w:t>
      </w:r>
      <w:r w:rsidR="00F11054">
        <w:rPr>
          <w:sz w:val="26"/>
          <w:szCs w:val="26"/>
        </w:rPr>
        <w:t>,</w:t>
      </w:r>
      <w:r>
        <w:rPr>
          <w:sz w:val="26"/>
          <w:szCs w:val="26"/>
        </w:rPr>
        <w:t xml:space="preserve"> it is only appropriate for any cost savings to be reflected in that same reconcilable </w:t>
      </w:r>
      <w:r w:rsidR="00F11054">
        <w:rPr>
          <w:sz w:val="26"/>
          <w:szCs w:val="26"/>
        </w:rPr>
        <w:t xml:space="preserve">adjustment </w:t>
      </w:r>
      <w:r>
        <w:rPr>
          <w:sz w:val="26"/>
          <w:szCs w:val="26"/>
        </w:rPr>
        <w:t>mechanism.  Based upon our review of the record on this issue</w:t>
      </w:r>
      <w:r w:rsidR="00F11054">
        <w:rPr>
          <w:sz w:val="26"/>
          <w:szCs w:val="26"/>
        </w:rPr>
        <w:t>,</w:t>
      </w:r>
      <w:r>
        <w:rPr>
          <w:sz w:val="26"/>
          <w:szCs w:val="26"/>
        </w:rPr>
        <w:t xml:space="preserve"> we shall adopt the recommendation of the OCA on reflecting any cost savings in the Companies SMT-C Riders.  Accordingly, we shall direct the Companies to add the above language to their SMT-C Riders and to also include language to clarify that the treatment of those savings will be reflected in the reconciliation process concomitantly with any other change from the originally approved recovery rate.</w:t>
      </w:r>
    </w:p>
    <w:p w:rsidR="006C5448" w:rsidRDefault="006C5448" w:rsidP="002F5812">
      <w:pPr>
        <w:spacing w:line="360" w:lineRule="auto"/>
        <w:ind w:firstLine="2160"/>
        <w:rPr>
          <w:sz w:val="26"/>
          <w:szCs w:val="26"/>
        </w:rPr>
      </w:pPr>
    </w:p>
    <w:p w:rsidR="008E496C" w:rsidRDefault="008E496C" w:rsidP="008E496C">
      <w:pPr>
        <w:pStyle w:val="Heading3"/>
      </w:pPr>
      <w:bookmarkStart w:id="121" w:name="_Toc259798244"/>
      <w:bookmarkStart w:id="122" w:name="_Toc263848888"/>
      <w:r>
        <w:lastRenderedPageBreak/>
        <w:t>6.</w:t>
      </w:r>
      <w:r>
        <w:tab/>
        <w:t>Cost Allocation</w:t>
      </w:r>
      <w:bookmarkEnd w:id="121"/>
      <w:bookmarkEnd w:id="122"/>
    </w:p>
    <w:p w:rsidR="006C5448" w:rsidRDefault="006C5448" w:rsidP="006C5448">
      <w:pPr>
        <w:pStyle w:val="Heading4"/>
      </w:pPr>
    </w:p>
    <w:p w:rsidR="006C5448" w:rsidRDefault="006C5448" w:rsidP="006C5448">
      <w:pPr>
        <w:pStyle w:val="Heading4"/>
      </w:pPr>
      <w:bookmarkStart w:id="123" w:name="_Toc259798245"/>
      <w:bookmarkStart w:id="124" w:name="_Toc263848889"/>
      <w:r>
        <w:t>a.</w:t>
      </w:r>
      <w:r>
        <w:tab/>
      </w:r>
      <w:r w:rsidR="00B55DC4">
        <w:t>FirstEnergy</w:t>
      </w:r>
      <w:r>
        <w:t>’s Plan</w:t>
      </w:r>
      <w:bookmarkEnd w:id="123"/>
      <w:bookmarkEnd w:id="124"/>
    </w:p>
    <w:p w:rsidR="006C5448" w:rsidRDefault="006C5448" w:rsidP="006C5448">
      <w:pPr>
        <w:spacing w:line="360" w:lineRule="auto"/>
        <w:ind w:firstLine="2160"/>
        <w:rPr>
          <w:sz w:val="26"/>
          <w:szCs w:val="26"/>
        </w:rPr>
      </w:pPr>
    </w:p>
    <w:p w:rsidR="00E66A8B" w:rsidRPr="00E66A8B" w:rsidRDefault="00E66A8B" w:rsidP="00D9774E">
      <w:pPr>
        <w:spacing w:line="360" w:lineRule="auto"/>
        <w:ind w:firstLine="1440"/>
        <w:rPr>
          <w:sz w:val="26"/>
          <w:szCs w:val="26"/>
        </w:rPr>
      </w:pPr>
      <w:r>
        <w:rPr>
          <w:sz w:val="26"/>
          <w:szCs w:val="26"/>
        </w:rPr>
        <w:t xml:space="preserve">The </w:t>
      </w:r>
      <w:r w:rsidRPr="00B56BC4">
        <w:rPr>
          <w:i/>
          <w:sz w:val="26"/>
          <w:szCs w:val="26"/>
        </w:rPr>
        <w:t>Implementation Order</w:t>
      </w:r>
      <w:r>
        <w:rPr>
          <w:sz w:val="26"/>
          <w:szCs w:val="26"/>
        </w:rPr>
        <w:t xml:space="preserve"> stated:</w:t>
      </w:r>
    </w:p>
    <w:p w:rsidR="00336446" w:rsidRDefault="00336446" w:rsidP="00E66A8B">
      <w:pPr>
        <w:ind w:left="1440" w:right="1440" w:firstLine="720"/>
        <w:rPr>
          <w:sz w:val="26"/>
        </w:rPr>
      </w:pPr>
    </w:p>
    <w:p w:rsidR="00E66A8B" w:rsidRDefault="00E66A8B" w:rsidP="00E66A8B">
      <w:pPr>
        <w:ind w:left="1440" w:right="1440" w:firstLine="720"/>
        <w:rPr>
          <w:sz w:val="26"/>
        </w:rPr>
      </w:pPr>
      <w:r w:rsidRPr="00920883">
        <w:rPr>
          <w:sz w:val="26"/>
        </w:rPr>
        <w:t>The Commission will require that all measures associated with an EDC’s smart metering plan shall be financed by the customer class that receives the benefit of such measures.  In order to ensure that proper allocation takes place, it will be necessary for the utilities to determine the total costs related to their smart metering plans</w:t>
      </w:r>
      <w:r w:rsidR="00336446">
        <w:rPr>
          <w:sz w:val="26"/>
        </w:rPr>
        <w:t xml:space="preserve"> . . . .</w:t>
      </w:r>
      <w:r w:rsidRPr="00920883">
        <w:rPr>
          <w:sz w:val="26"/>
        </w:rPr>
        <w:t xml:space="preserve">  Once these costs have been determined, we will require the EDC to allocate those costs to the classes whom derive benefit from such costs.  Any costs that can be clearly shown to benefit solely one specific class should be assigned wholly to that class.  Those costs that provide benefit across multiple classes should be allocated among the appropriate classes using reasonable cost of service practices.</w:t>
      </w:r>
    </w:p>
    <w:p w:rsidR="00E66A8B" w:rsidRDefault="00E66A8B" w:rsidP="006C5448">
      <w:pPr>
        <w:spacing w:line="360" w:lineRule="auto"/>
        <w:ind w:firstLine="2160"/>
        <w:rPr>
          <w:sz w:val="26"/>
          <w:szCs w:val="26"/>
        </w:rPr>
      </w:pPr>
    </w:p>
    <w:p w:rsidR="00E66A8B" w:rsidRDefault="00E66A8B" w:rsidP="00E66A8B">
      <w:pPr>
        <w:spacing w:line="360" w:lineRule="auto"/>
        <w:rPr>
          <w:sz w:val="26"/>
          <w:szCs w:val="26"/>
        </w:rPr>
      </w:pPr>
      <w:r w:rsidRPr="00B56BC4">
        <w:rPr>
          <w:i/>
          <w:sz w:val="26"/>
          <w:szCs w:val="26"/>
        </w:rPr>
        <w:t>Implementation Order</w:t>
      </w:r>
      <w:r>
        <w:rPr>
          <w:i/>
          <w:sz w:val="26"/>
          <w:szCs w:val="26"/>
        </w:rPr>
        <w:t xml:space="preserve"> </w:t>
      </w:r>
      <w:r w:rsidRPr="00E66A8B">
        <w:rPr>
          <w:sz w:val="26"/>
          <w:szCs w:val="26"/>
        </w:rPr>
        <w:t>at 30.</w:t>
      </w:r>
    </w:p>
    <w:p w:rsidR="00F40CCB" w:rsidRPr="00E66A8B" w:rsidRDefault="00F40CCB" w:rsidP="00E66A8B">
      <w:pPr>
        <w:spacing w:line="360" w:lineRule="auto"/>
        <w:rPr>
          <w:sz w:val="26"/>
          <w:szCs w:val="26"/>
        </w:rPr>
      </w:pPr>
    </w:p>
    <w:p w:rsidR="00CE08F5" w:rsidRDefault="00F40CCB" w:rsidP="00D9774E">
      <w:pPr>
        <w:spacing w:line="360" w:lineRule="auto"/>
        <w:ind w:firstLine="1440"/>
        <w:rPr>
          <w:sz w:val="26"/>
          <w:szCs w:val="26"/>
        </w:rPr>
      </w:pPr>
      <w:r>
        <w:rPr>
          <w:sz w:val="26"/>
          <w:szCs w:val="26"/>
        </w:rPr>
        <w:t>Under the Companies’ Plan, a</w:t>
      </w:r>
      <w:r w:rsidR="004E0EC1">
        <w:rPr>
          <w:sz w:val="26"/>
          <w:szCs w:val="26"/>
        </w:rPr>
        <w:t xml:space="preserve">ll costs incurred before and during the Assessment Period, as well as Plan costs that are not directly assignable during the Deployment Period, would be considered </w:t>
      </w:r>
      <w:r w:rsidR="00F101E4">
        <w:rPr>
          <w:sz w:val="26"/>
          <w:szCs w:val="26"/>
        </w:rPr>
        <w:t xml:space="preserve">common costs.  MEIUG </w:t>
      </w:r>
      <w:r w:rsidR="00F101E4">
        <w:rPr>
          <w:i/>
          <w:sz w:val="26"/>
          <w:szCs w:val="26"/>
        </w:rPr>
        <w:t>et al.,</w:t>
      </w:r>
      <w:r w:rsidR="00F101E4">
        <w:rPr>
          <w:sz w:val="26"/>
          <w:szCs w:val="26"/>
        </w:rPr>
        <w:t xml:space="preserve"> R.Exc. at 2-3.  These </w:t>
      </w:r>
      <w:r w:rsidR="00B56BC4">
        <w:rPr>
          <w:sz w:val="26"/>
          <w:szCs w:val="26"/>
        </w:rPr>
        <w:t xml:space="preserve">common costs </w:t>
      </w:r>
      <w:r w:rsidR="00F101E4">
        <w:rPr>
          <w:sz w:val="26"/>
          <w:szCs w:val="26"/>
        </w:rPr>
        <w:t xml:space="preserve">would be allocated </w:t>
      </w:r>
      <w:r w:rsidR="00B56BC4">
        <w:rPr>
          <w:sz w:val="26"/>
          <w:szCs w:val="26"/>
        </w:rPr>
        <w:t>among the rate classes based on each class’</w:t>
      </w:r>
      <w:r w:rsidR="00901E1F">
        <w:rPr>
          <w:sz w:val="26"/>
          <w:szCs w:val="26"/>
        </w:rPr>
        <w:t>s</w:t>
      </w:r>
      <w:r w:rsidR="00B56BC4">
        <w:rPr>
          <w:sz w:val="26"/>
          <w:szCs w:val="26"/>
        </w:rPr>
        <w:t xml:space="preserve"> number of customers.  Companies’ St. No. 3-R at 2-4.  </w:t>
      </w:r>
      <w:r w:rsidR="00901E1F">
        <w:rPr>
          <w:sz w:val="26"/>
          <w:szCs w:val="26"/>
        </w:rPr>
        <w:t>The OCA</w:t>
      </w:r>
      <w:r w:rsidR="004C1AA9">
        <w:rPr>
          <w:sz w:val="26"/>
          <w:szCs w:val="26"/>
        </w:rPr>
        <w:t>, however,</w:t>
      </w:r>
      <w:r w:rsidR="00901E1F">
        <w:rPr>
          <w:sz w:val="26"/>
          <w:szCs w:val="26"/>
        </w:rPr>
        <w:t xml:space="preserve"> argue</w:t>
      </w:r>
      <w:r w:rsidR="004C1AA9">
        <w:rPr>
          <w:sz w:val="26"/>
          <w:szCs w:val="26"/>
        </w:rPr>
        <w:t xml:space="preserve">d </w:t>
      </w:r>
      <w:r w:rsidR="00901E1F">
        <w:rPr>
          <w:sz w:val="26"/>
          <w:szCs w:val="26"/>
        </w:rPr>
        <w:t xml:space="preserve">that the Companies should allocate common costs among the classes based on energy usage and demand.  </w:t>
      </w:r>
      <w:r w:rsidR="004C1AA9">
        <w:rPr>
          <w:sz w:val="26"/>
          <w:szCs w:val="26"/>
        </w:rPr>
        <w:t xml:space="preserve">OCA MB at </w:t>
      </w:r>
      <w:r w:rsidR="00E575A0">
        <w:rPr>
          <w:sz w:val="26"/>
          <w:szCs w:val="26"/>
        </w:rPr>
        <w:t>22-31.</w:t>
      </w:r>
    </w:p>
    <w:p w:rsidR="00AF05A0" w:rsidRDefault="00AF05A0" w:rsidP="00D9774E">
      <w:pPr>
        <w:spacing w:line="360" w:lineRule="auto"/>
        <w:ind w:firstLine="1440"/>
        <w:rPr>
          <w:sz w:val="26"/>
          <w:szCs w:val="26"/>
        </w:rPr>
      </w:pPr>
    </w:p>
    <w:p w:rsidR="00E10EA8" w:rsidRDefault="00E10EA8">
      <w:pPr>
        <w:spacing w:after="200" w:line="276" w:lineRule="auto"/>
        <w:rPr>
          <w:rFonts w:eastAsiaTheme="majorEastAsia" w:cstheme="majorBidi"/>
          <w:b/>
          <w:bCs/>
          <w:iCs/>
          <w:sz w:val="26"/>
        </w:rPr>
      </w:pPr>
      <w:bookmarkStart w:id="125" w:name="_Toc259798246"/>
      <w:r>
        <w:br w:type="page"/>
      </w:r>
    </w:p>
    <w:p w:rsidR="006C5448" w:rsidRDefault="006C5448" w:rsidP="006C5448">
      <w:pPr>
        <w:pStyle w:val="Heading4"/>
      </w:pPr>
      <w:bookmarkStart w:id="126" w:name="_Toc263848890"/>
      <w:r>
        <w:lastRenderedPageBreak/>
        <w:t>b.</w:t>
      </w:r>
      <w:r>
        <w:tab/>
        <w:t>ALJ’s Recommendation</w:t>
      </w:r>
      <w:bookmarkEnd w:id="125"/>
      <w:bookmarkEnd w:id="126"/>
    </w:p>
    <w:p w:rsidR="006C5448" w:rsidRDefault="006C5448" w:rsidP="006C5448">
      <w:pPr>
        <w:spacing w:line="360" w:lineRule="auto"/>
        <w:ind w:firstLine="2160"/>
        <w:rPr>
          <w:sz w:val="26"/>
          <w:szCs w:val="26"/>
        </w:rPr>
      </w:pPr>
    </w:p>
    <w:p w:rsidR="00D9774E" w:rsidRDefault="001A580F" w:rsidP="00D9774E">
      <w:pPr>
        <w:spacing w:line="360" w:lineRule="auto"/>
        <w:ind w:firstLine="1440"/>
        <w:rPr>
          <w:sz w:val="26"/>
          <w:szCs w:val="26"/>
        </w:rPr>
      </w:pPr>
      <w:r>
        <w:rPr>
          <w:sz w:val="26"/>
          <w:szCs w:val="26"/>
        </w:rPr>
        <w:t xml:space="preserve">The ALJ noted that the OCA’s proposal would dramatically change the </w:t>
      </w:r>
      <w:r w:rsidR="00583F09">
        <w:rPr>
          <w:sz w:val="26"/>
          <w:szCs w:val="26"/>
        </w:rPr>
        <w:t xml:space="preserve">Plan’s </w:t>
      </w:r>
      <w:r>
        <w:rPr>
          <w:sz w:val="26"/>
          <w:szCs w:val="26"/>
        </w:rPr>
        <w:t xml:space="preserve">allocation of common costs among the </w:t>
      </w:r>
      <w:r w:rsidR="002207EF">
        <w:rPr>
          <w:sz w:val="26"/>
          <w:szCs w:val="26"/>
        </w:rPr>
        <w:t xml:space="preserve">customer </w:t>
      </w:r>
      <w:r>
        <w:rPr>
          <w:sz w:val="26"/>
          <w:szCs w:val="26"/>
        </w:rPr>
        <w:t xml:space="preserve">classes.  For example, the Plan would allocate 88.23% of </w:t>
      </w:r>
      <w:r w:rsidR="00B55DC4">
        <w:rPr>
          <w:sz w:val="26"/>
          <w:szCs w:val="26"/>
        </w:rPr>
        <w:t>Met-Ed</w:t>
      </w:r>
      <w:r w:rsidR="005430FF">
        <w:rPr>
          <w:sz w:val="26"/>
          <w:szCs w:val="26"/>
        </w:rPr>
        <w:t xml:space="preserve">’s </w:t>
      </w:r>
      <w:r>
        <w:rPr>
          <w:sz w:val="26"/>
          <w:szCs w:val="26"/>
        </w:rPr>
        <w:t xml:space="preserve">common costs </w:t>
      </w:r>
      <w:r w:rsidR="005430FF">
        <w:rPr>
          <w:sz w:val="26"/>
          <w:szCs w:val="26"/>
        </w:rPr>
        <w:t xml:space="preserve">to the residential class, 11.45% to the commercial class, and 0.32% to the industrial class.  The OCA’s proposal would allocate 35.5% of </w:t>
      </w:r>
      <w:r w:rsidR="00B55DC4">
        <w:rPr>
          <w:sz w:val="26"/>
          <w:szCs w:val="26"/>
        </w:rPr>
        <w:t>Met-Ed</w:t>
      </w:r>
      <w:r w:rsidR="005430FF">
        <w:rPr>
          <w:sz w:val="26"/>
          <w:szCs w:val="26"/>
        </w:rPr>
        <w:t>’s common costs</w:t>
      </w:r>
      <w:r w:rsidR="0094181A">
        <w:rPr>
          <w:sz w:val="26"/>
          <w:szCs w:val="26"/>
        </w:rPr>
        <w:t xml:space="preserve"> to the residential class, 36.7</w:t>
      </w:r>
      <w:r w:rsidR="005430FF">
        <w:rPr>
          <w:sz w:val="26"/>
          <w:szCs w:val="26"/>
        </w:rPr>
        <w:t xml:space="preserve">% to the commercial class, and 27.8% to the industrial class.  </w:t>
      </w:r>
      <w:r w:rsidR="002207EF">
        <w:rPr>
          <w:sz w:val="26"/>
          <w:szCs w:val="26"/>
        </w:rPr>
        <w:t>Similarly, t</w:t>
      </w:r>
      <w:r w:rsidR="0095344E">
        <w:rPr>
          <w:sz w:val="26"/>
          <w:szCs w:val="26"/>
        </w:rPr>
        <w:t>he OCA’s</w:t>
      </w:r>
      <w:r w:rsidR="00583F09">
        <w:rPr>
          <w:sz w:val="26"/>
          <w:szCs w:val="26"/>
        </w:rPr>
        <w:t xml:space="preserve"> proposal would </w:t>
      </w:r>
      <w:r w:rsidR="002207EF">
        <w:rPr>
          <w:sz w:val="26"/>
          <w:szCs w:val="26"/>
        </w:rPr>
        <w:t xml:space="preserve">significantly modify </w:t>
      </w:r>
      <w:r w:rsidR="00583F09">
        <w:rPr>
          <w:sz w:val="26"/>
          <w:szCs w:val="26"/>
        </w:rPr>
        <w:t xml:space="preserve">the allocation of common costs among the </w:t>
      </w:r>
      <w:r w:rsidR="002207EF">
        <w:rPr>
          <w:sz w:val="26"/>
          <w:szCs w:val="26"/>
        </w:rPr>
        <w:t xml:space="preserve">customer </w:t>
      </w:r>
      <w:r w:rsidR="00583F09">
        <w:rPr>
          <w:sz w:val="26"/>
          <w:szCs w:val="26"/>
        </w:rPr>
        <w:t>classes for Penelec and Penn Power.  I.D. at 53.</w:t>
      </w:r>
    </w:p>
    <w:p w:rsidR="00583F09" w:rsidRDefault="00583F09" w:rsidP="00D9774E">
      <w:pPr>
        <w:spacing w:line="360" w:lineRule="auto"/>
        <w:ind w:firstLine="1440"/>
        <w:rPr>
          <w:sz w:val="26"/>
          <w:szCs w:val="26"/>
        </w:rPr>
      </w:pPr>
    </w:p>
    <w:p w:rsidR="00583F09" w:rsidRDefault="008F04BD" w:rsidP="00D9774E">
      <w:pPr>
        <w:spacing w:line="360" w:lineRule="auto"/>
        <w:ind w:firstLine="1440"/>
        <w:rPr>
          <w:sz w:val="26"/>
          <w:szCs w:val="26"/>
        </w:rPr>
      </w:pPr>
      <w:r>
        <w:rPr>
          <w:sz w:val="26"/>
          <w:szCs w:val="26"/>
        </w:rPr>
        <w:t xml:space="preserve">The ALJ rejected the OCA’s proposal.  She concluded that the OCA </w:t>
      </w:r>
      <w:r w:rsidR="00284DAF">
        <w:rPr>
          <w:sz w:val="26"/>
          <w:szCs w:val="26"/>
        </w:rPr>
        <w:t xml:space="preserve">was </w:t>
      </w:r>
      <w:r>
        <w:rPr>
          <w:sz w:val="26"/>
          <w:szCs w:val="26"/>
        </w:rPr>
        <w:t xml:space="preserve">“ignoring long-standing principles of cost causation.”  I.D. at 55.  She concluded </w:t>
      </w:r>
      <w:r w:rsidR="006E17BC">
        <w:rPr>
          <w:sz w:val="26"/>
          <w:szCs w:val="26"/>
        </w:rPr>
        <w:t xml:space="preserve">further </w:t>
      </w:r>
      <w:r>
        <w:rPr>
          <w:sz w:val="26"/>
          <w:szCs w:val="26"/>
        </w:rPr>
        <w:t xml:space="preserve">that the </w:t>
      </w:r>
      <w:r w:rsidR="002207EF">
        <w:rPr>
          <w:sz w:val="26"/>
          <w:szCs w:val="26"/>
        </w:rPr>
        <w:t xml:space="preserve">Plan’s </w:t>
      </w:r>
      <w:r>
        <w:rPr>
          <w:sz w:val="26"/>
          <w:szCs w:val="26"/>
        </w:rPr>
        <w:t xml:space="preserve">common costs would be incurred without regard to energy consumption or customer demand.  </w:t>
      </w:r>
      <w:r w:rsidR="00284DAF">
        <w:rPr>
          <w:sz w:val="26"/>
          <w:szCs w:val="26"/>
        </w:rPr>
        <w:t xml:space="preserve">She also noted that </w:t>
      </w:r>
      <w:r>
        <w:rPr>
          <w:sz w:val="26"/>
          <w:szCs w:val="26"/>
        </w:rPr>
        <w:t>the smart meter technology would be provided to all metered customers</w:t>
      </w:r>
      <w:r w:rsidR="00284DAF">
        <w:rPr>
          <w:sz w:val="26"/>
          <w:szCs w:val="26"/>
        </w:rPr>
        <w:t xml:space="preserve">.  She therefore recommended that common costs be allocated based on the number of customers in each class, as the Companies proposed.  </w:t>
      </w:r>
      <w:r w:rsidR="00284DAF" w:rsidRPr="00284DAF">
        <w:rPr>
          <w:i/>
          <w:sz w:val="26"/>
          <w:szCs w:val="26"/>
        </w:rPr>
        <w:t>Id</w:t>
      </w:r>
      <w:r w:rsidR="00284DAF">
        <w:rPr>
          <w:sz w:val="26"/>
          <w:szCs w:val="26"/>
        </w:rPr>
        <w:t>.</w:t>
      </w:r>
      <w:r>
        <w:rPr>
          <w:sz w:val="26"/>
          <w:szCs w:val="26"/>
        </w:rPr>
        <w:t xml:space="preserve"> </w:t>
      </w:r>
    </w:p>
    <w:p w:rsidR="005430FF" w:rsidRDefault="005430FF" w:rsidP="00D9774E">
      <w:pPr>
        <w:spacing w:line="360" w:lineRule="auto"/>
        <w:ind w:firstLine="1440"/>
        <w:rPr>
          <w:sz w:val="26"/>
          <w:szCs w:val="26"/>
        </w:rPr>
      </w:pPr>
    </w:p>
    <w:p w:rsidR="006C5448" w:rsidRPr="003F2CE4" w:rsidRDefault="006C5448" w:rsidP="006C5448">
      <w:pPr>
        <w:pStyle w:val="Heading4"/>
        <w:rPr>
          <w:szCs w:val="26"/>
        </w:rPr>
      </w:pPr>
      <w:bookmarkStart w:id="127" w:name="_Toc259798247"/>
      <w:bookmarkStart w:id="128" w:name="_Toc263848891"/>
      <w:r w:rsidRPr="003F2CE4">
        <w:rPr>
          <w:szCs w:val="26"/>
        </w:rPr>
        <w:t>c.</w:t>
      </w:r>
      <w:r w:rsidRPr="003F2CE4">
        <w:rPr>
          <w:szCs w:val="26"/>
        </w:rPr>
        <w:tab/>
        <w:t>Positions of the Parties</w:t>
      </w:r>
      <w:bookmarkEnd w:id="127"/>
      <w:bookmarkEnd w:id="128"/>
    </w:p>
    <w:p w:rsidR="006C5448" w:rsidRPr="003F2CE4" w:rsidRDefault="006C5448" w:rsidP="006C5448">
      <w:pPr>
        <w:rPr>
          <w:sz w:val="26"/>
          <w:szCs w:val="26"/>
        </w:rPr>
      </w:pPr>
    </w:p>
    <w:p w:rsidR="002207EF" w:rsidRPr="003F2CE4" w:rsidRDefault="003F2CE4" w:rsidP="003F2CE4">
      <w:pPr>
        <w:spacing w:line="360" w:lineRule="auto"/>
        <w:ind w:firstLine="1440"/>
        <w:rPr>
          <w:sz w:val="26"/>
          <w:szCs w:val="26"/>
        </w:rPr>
      </w:pPr>
      <w:r w:rsidRPr="003F2CE4">
        <w:rPr>
          <w:sz w:val="26"/>
          <w:szCs w:val="26"/>
        </w:rPr>
        <w:t>The OCA excepts t</w:t>
      </w:r>
      <w:r>
        <w:rPr>
          <w:sz w:val="26"/>
          <w:szCs w:val="26"/>
        </w:rPr>
        <w:t>o t</w:t>
      </w:r>
      <w:r w:rsidRPr="003F2CE4">
        <w:rPr>
          <w:sz w:val="26"/>
          <w:szCs w:val="26"/>
        </w:rPr>
        <w:t>h</w:t>
      </w:r>
      <w:r>
        <w:rPr>
          <w:sz w:val="26"/>
          <w:szCs w:val="26"/>
        </w:rPr>
        <w:t>e ALJ’s decision regard</w:t>
      </w:r>
      <w:r w:rsidR="001417C3">
        <w:rPr>
          <w:sz w:val="26"/>
          <w:szCs w:val="26"/>
        </w:rPr>
        <w:t>ing</w:t>
      </w:r>
      <w:r>
        <w:rPr>
          <w:sz w:val="26"/>
          <w:szCs w:val="26"/>
        </w:rPr>
        <w:t xml:space="preserve"> the allocation of common costs.  </w:t>
      </w:r>
      <w:r w:rsidR="00B4574D">
        <w:rPr>
          <w:sz w:val="26"/>
          <w:szCs w:val="26"/>
        </w:rPr>
        <w:t xml:space="preserve">The OCA disputes the ALJ’s statement that smart meter costs are “akin to traditional metering.”  OCA Exc. at 7 (quoting I.D. at 55).  </w:t>
      </w:r>
      <w:r w:rsidR="0007487A">
        <w:rPr>
          <w:sz w:val="26"/>
          <w:szCs w:val="26"/>
        </w:rPr>
        <w:t>The OCA contends that</w:t>
      </w:r>
      <w:r w:rsidR="00B4574D">
        <w:rPr>
          <w:sz w:val="26"/>
          <w:szCs w:val="26"/>
        </w:rPr>
        <w:t xml:space="preserve"> these are not traditional meters and the reasons for incurring these costs diverge widely from the reason that traditional metering costs are incurred.  </w:t>
      </w:r>
      <w:r w:rsidR="0007487A">
        <w:rPr>
          <w:sz w:val="26"/>
          <w:szCs w:val="26"/>
        </w:rPr>
        <w:t xml:space="preserve">According to the </w:t>
      </w:r>
      <w:r w:rsidR="00B4574D">
        <w:rPr>
          <w:sz w:val="26"/>
          <w:szCs w:val="26"/>
        </w:rPr>
        <w:t>OCA</w:t>
      </w:r>
      <w:r w:rsidR="0007487A">
        <w:rPr>
          <w:sz w:val="26"/>
          <w:szCs w:val="26"/>
        </w:rPr>
        <w:t xml:space="preserve">: </w:t>
      </w:r>
      <w:r w:rsidR="00B4574D">
        <w:rPr>
          <w:sz w:val="26"/>
          <w:szCs w:val="26"/>
        </w:rPr>
        <w:t xml:space="preserve">the true cost causation of the smart meter network is </w:t>
      </w:r>
      <w:r w:rsidR="002918CD">
        <w:rPr>
          <w:sz w:val="26"/>
          <w:szCs w:val="26"/>
        </w:rPr>
        <w:t xml:space="preserve">compliance with </w:t>
      </w:r>
      <w:r w:rsidR="00B4574D">
        <w:rPr>
          <w:sz w:val="26"/>
          <w:szCs w:val="26"/>
        </w:rPr>
        <w:t>Act 129</w:t>
      </w:r>
      <w:r w:rsidR="0007487A">
        <w:rPr>
          <w:sz w:val="26"/>
          <w:szCs w:val="26"/>
        </w:rPr>
        <w:t xml:space="preserve">; the </w:t>
      </w:r>
      <w:r w:rsidR="00B4574D">
        <w:rPr>
          <w:sz w:val="26"/>
          <w:szCs w:val="26"/>
        </w:rPr>
        <w:t>primary purpose of installing the smart meter network is to impact the energy usage and peak demand of customers, in order to reduce and stabilize energy prices</w:t>
      </w:r>
      <w:r w:rsidR="0007487A">
        <w:rPr>
          <w:sz w:val="26"/>
          <w:szCs w:val="26"/>
        </w:rPr>
        <w:t>; and t</w:t>
      </w:r>
      <w:r w:rsidR="00B4574D">
        <w:rPr>
          <w:sz w:val="26"/>
          <w:szCs w:val="26"/>
        </w:rPr>
        <w:t xml:space="preserve">he benefit of that impact will accrue to all customer groups based on their energy usage and the </w:t>
      </w:r>
      <w:r w:rsidR="00B4574D">
        <w:rPr>
          <w:sz w:val="26"/>
          <w:szCs w:val="26"/>
        </w:rPr>
        <w:lastRenderedPageBreak/>
        <w:t xml:space="preserve">demand they place on the system.  </w:t>
      </w:r>
      <w:r w:rsidR="002918CD">
        <w:rPr>
          <w:sz w:val="26"/>
          <w:szCs w:val="26"/>
        </w:rPr>
        <w:t xml:space="preserve">The OCA submits that </w:t>
      </w:r>
      <w:r w:rsidR="005D3BF1">
        <w:rPr>
          <w:sz w:val="26"/>
          <w:szCs w:val="26"/>
        </w:rPr>
        <w:t xml:space="preserve">common costs should be allocated to customer classes in reasonable proportion to the benefits received by each class from the planning and implementation of the smart meter system.  </w:t>
      </w:r>
      <w:r w:rsidR="0007487A">
        <w:rPr>
          <w:sz w:val="26"/>
          <w:szCs w:val="26"/>
        </w:rPr>
        <w:t xml:space="preserve">Therefore, the OCA concludes, common costs should be allocated on a </w:t>
      </w:r>
      <w:r w:rsidR="0040376C">
        <w:rPr>
          <w:sz w:val="26"/>
          <w:szCs w:val="26"/>
        </w:rPr>
        <w:t xml:space="preserve">50% energy </w:t>
      </w:r>
      <w:r w:rsidR="0007487A">
        <w:rPr>
          <w:sz w:val="26"/>
          <w:szCs w:val="26"/>
        </w:rPr>
        <w:t>usage</w:t>
      </w:r>
      <w:r w:rsidR="0040376C">
        <w:rPr>
          <w:sz w:val="26"/>
          <w:szCs w:val="26"/>
        </w:rPr>
        <w:t xml:space="preserve">/50% </w:t>
      </w:r>
      <w:r w:rsidR="0007487A">
        <w:rPr>
          <w:sz w:val="26"/>
          <w:szCs w:val="26"/>
        </w:rPr>
        <w:t>d</w:t>
      </w:r>
      <w:r w:rsidR="0094181A">
        <w:rPr>
          <w:sz w:val="26"/>
          <w:szCs w:val="26"/>
        </w:rPr>
        <w:t>emand basis.  The OCA believes this</w:t>
      </w:r>
      <w:r w:rsidR="0007487A">
        <w:rPr>
          <w:sz w:val="26"/>
          <w:szCs w:val="26"/>
        </w:rPr>
        <w:t xml:space="preserve"> approach </w:t>
      </w:r>
      <w:r w:rsidR="001417C3">
        <w:rPr>
          <w:sz w:val="26"/>
          <w:szCs w:val="26"/>
        </w:rPr>
        <w:t xml:space="preserve">properly </w:t>
      </w:r>
      <w:r w:rsidR="0007487A">
        <w:rPr>
          <w:sz w:val="26"/>
          <w:szCs w:val="26"/>
        </w:rPr>
        <w:t>reflects cost causation and is consistent with traditional rate-making principles.  OCA at 6-17.</w:t>
      </w:r>
    </w:p>
    <w:p w:rsidR="00836BC7" w:rsidRPr="003F2CE4" w:rsidRDefault="00836BC7" w:rsidP="003F2CE4">
      <w:pPr>
        <w:spacing w:line="360" w:lineRule="auto"/>
        <w:rPr>
          <w:sz w:val="26"/>
          <w:szCs w:val="26"/>
        </w:rPr>
      </w:pPr>
    </w:p>
    <w:p w:rsidR="0044222F" w:rsidRDefault="003F2CE4" w:rsidP="003F2CE4">
      <w:pPr>
        <w:spacing w:line="360" w:lineRule="auto"/>
        <w:ind w:firstLine="1440"/>
        <w:rPr>
          <w:sz w:val="26"/>
          <w:szCs w:val="26"/>
        </w:rPr>
      </w:pPr>
      <w:r>
        <w:rPr>
          <w:sz w:val="26"/>
          <w:szCs w:val="26"/>
        </w:rPr>
        <w:t>The Companies respond</w:t>
      </w:r>
      <w:r w:rsidR="002801E4">
        <w:rPr>
          <w:sz w:val="26"/>
          <w:szCs w:val="26"/>
        </w:rPr>
        <w:t xml:space="preserve"> that common costs vary based on the number of customer accounts, not </w:t>
      </w:r>
      <w:r w:rsidR="0044222F">
        <w:rPr>
          <w:sz w:val="26"/>
          <w:szCs w:val="26"/>
        </w:rPr>
        <w:t>based on</w:t>
      </w:r>
      <w:r w:rsidR="002801E4">
        <w:rPr>
          <w:sz w:val="26"/>
          <w:szCs w:val="26"/>
        </w:rPr>
        <w:t xml:space="preserve"> the </w:t>
      </w:r>
      <w:r w:rsidR="00ED1D23">
        <w:rPr>
          <w:sz w:val="26"/>
          <w:szCs w:val="26"/>
        </w:rPr>
        <w:t xml:space="preserve">customer’s </w:t>
      </w:r>
      <w:r w:rsidR="002801E4">
        <w:rPr>
          <w:sz w:val="26"/>
          <w:szCs w:val="26"/>
        </w:rPr>
        <w:t>energy us</w:t>
      </w:r>
      <w:r w:rsidR="00ED1D23">
        <w:rPr>
          <w:sz w:val="26"/>
          <w:szCs w:val="26"/>
        </w:rPr>
        <w:t>age</w:t>
      </w:r>
      <w:r w:rsidR="002801E4">
        <w:rPr>
          <w:sz w:val="26"/>
          <w:szCs w:val="26"/>
        </w:rPr>
        <w:t xml:space="preserve"> or peak demand.  </w:t>
      </w:r>
      <w:r w:rsidR="003D6BB2">
        <w:rPr>
          <w:sz w:val="26"/>
          <w:szCs w:val="26"/>
        </w:rPr>
        <w:t xml:space="preserve">The Companies maintain that the OCA would have its desired outcome (reducing the </w:t>
      </w:r>
      <w:r w:rsidR="00724806">
        <w:rPr>
          <w:sz w:val="26"/>
          <w:szCs w:val="26"/>
        </w:rPr>
        <w:t xml:space="preserve">proportion of </w:t>
      </w:r>
      <w:r w:rsidR="003D6BB2">
        <w:rPr>
          <w:sz w:val="26"/>
          <w:szCs w:val="26"/>
        </w:rPr>
        <w:t xml:space="preserve">common costs allocated to the residential class) dictate the </w:t>
      </w:r>
      <w:r w:rsidR="00724806">
        <w:rPr>
          <w:sz w:val="26"/>
          <w:szCs w:val="26"/>
        </w:rPr>
        <w:t>Companies’</w:t>
      </w:r>
      <w:r w:rsidR="009A3838">
        <w:rPr>
          <w:sz w:val="26"/>
          <w:szCs w:val="26"/>
        </w:rPr>
        <w:t xml:space="preserve"> </w:t>
      </w:r>
      <w:r w:rsidR="003D6BB2">
        <w:rPr>
          <w:sz w:val="26"/>
          <w:szCs w:val="26"/>
        </w:rPr>
        <w:t xml:space="preserve">allocation methodology. </w:t>
      </w:r>
      <w:r w:rsidR="00724806">
        <w:rPr>
          <w:sz w:val="26"/>
          <w:szCs w:val="26"/>
        </w:rPr>
        <w:t xml:space="preserve"> This is an invalid approach, according to the Companies. </w:t>
      </w:r>
      <w:r w:rsidR="003D6BB2">
        <w:rPr>
          <w:sz w:val="26"/>
          <w:szCs w:val="26"/>
        </w:rPr>
        <w:t xml:space="preserve"> </w:t>
      </w:r>
      <w:r w:rsidR="001338DE">
        <w:rPr>
          <w:sz w:val="26"/>
          <w:szCs w:val="26"/>
        </w:rPr>
        <w:t xml:space="preserve">The Companies </w:t>
      </w:r>
      <w:r w:rsidR="00724806">
        <w:rPr>
          <w:sz w:val="26"/>
          <w:szCs w:val="26"/>
        </w:rPr>
        <w:t xml:space="preserve">further </w:t>
      </w:r>
      <w:r w:rsidR="009A3838">
        <w:rPr>
          <w:sz w:val="26"/>
          <w:szCs w:val="26"/>
        </w:rPr>
        <w:t xml:space="preserve">contend </w:t>
      </w:r>
      <w:r w:rsidR="001338DE">
        <w:rPr>
          <w:sz w:val="26"/>
          <w:szCs w:val="26"/>
        </w:rPr>
        <w:t xml:space="preserve">that </w:t>
      </w:r>
      <w:r w:rsidR="00BC397F">
        <w:rPr>
          <w:sz w:val="26"/>
          <w:szCs w:val="26"/>
        </w:rPr>
        <w:t xml:space="preserve">the </w:t>
      </w:r>
      <w:r w:rsidR="009E1A0A">
        <w:rPr>
          <w:sz w:val="26"/>
          <w:szCs w:val="26"/>
        </w:rPr>
        <w:t>OCA’s proposal is a benefits-based allocation approach rather than a cost-based alloc</w:t>
      </w:r>
      <w:r w:rsidR="003D6BB2">
        <w:rPr>
          <w:sz w:val="26"/>
          <w:szCs w:val="26"/>
        </w:rPr>
        <w:t xml:space="preserve">ation approach. </w:t>
      </w:r>
      <w:r w:rsidR="009A3838">
        <w:rPr>
          <w:sz w:val="26"/>
          <w:szCs w:val="26"/>
        </w:rPr>
        <w:t xml:space="preserve"> </w:t>
      </w:r>
      <w:r w:rsidR="00B55DC4">
        <w:rPr>
          <w:sz w:val="26"/>
          <w:szCs w:val="26"/>
        </w:rPr>
        <w:t>FirstEnergy</w:t>
      </w:r>
      <w:r w:rsidR="009A3838">
        <w:rPr>
          <w:sz w:val="26"/>
          <w:szCs w:val="26"/>
        </w:rPr>
        <w:t xml:space="preserve"> R.Exc. at 18-20.  </w:t>
      </w:r>
    </w:p>
    <w:p w:rsidR="0044222F" w:rsidRDefault="0044222F" w:rsidP="003F2CE4">
      <w:pPr>
        <w:spacing w:line="360" w:lineRule="auto"/>
        <w:ind w:firstLine="1440"/>
        <w:rPr>
          <w:sz w:val="26"/>
          <w:szCs w:val="26"/>
        </w:rPr>
      </w:pPr>
    </w:p>
    <w:p w:rsidR="00836BC7" w:rsidRDefault="001338DE" w:rsidP="003F2CE4">
      <w:pPr>
        <w:spacing w:line="360" w:lineRule="auto"/>
        <w:ind w:firstLine="1440"/>
        <w:rPr>
          <w:sz w:val="26"/>
          <w:szCs w:val="26"/>
        </w:rPr>
      </w:pPr>
      <w:r>
        <w:rPr>
          <w:sz w:val="26"/>
          <w:szCs w:val="26"/>
        </w:rPr>
        <w:t>According to the</w:t>
      </w:r>
      <w:r w:rsidR="009E1A0A">
        <w:rPr>
          <w:sz w:val="26"/>
          <w:szCs w:val="26"/>
        </w:rPr>
        <w:t xml:space="preserve"> Companies</w:t>
      </w:r>
      <w:r>
        <w:rPr>
          <w:sz w:val="26"/>
          <w:szCs w:val="26"/>
        </w:rPr>
        <w:t xml:space="preserve">, </w:t>
      </w:r>
      <w:r w:rsidR="009E1A0A">
        <w:rPr>
          <w:sz w:val="26"/>
          <w:szCs w:val="26"/>
        </w:rPr>
        <w:t xml:space="preserve">the OCA erroneously argues that </w:t>
      </w:r>
      <w:r w:rsidR="00724806">
        <w:rPr>
          <w:sz w:val="26"/>
          <w:szCs w:val="26"/>
        </w:rPr>
        <w:t>smart meter common costs are qualitatively different</w:t>
      </w:r>
      <w:r>
        <w:rPr>
          <w:sz w:val="26"/>
          <w:szCs w:val="26"/>
        </w:rPr>
        <w:t xml:space="preserve"> from other forms of metering costs.  </w:t>
      </w:r>
      <w:r w:rsidR="00080404">
        <w:rPr>
          <w:sz w:val="26"/>
          <w:szCs w:val="26"/>
        </w:rPr>
        <w:t>The Companies argue that the costs of traditional meters have been allocated on a custom</w:t>
      </w:r>
      <w:r w:rsidR="0044222F">
        <w:rPr>
          <w:sz w:val="26"/>
          <w:szCs w:val="26"/>
        </w:rPr>
        <w:t>er basis although these meters encourage conservation, promote efficient use of utility service, and reduce overall costs.  This is no</w:t>
      </w:r>
      <w:r w:rsidR="00724806">
        <w:rPr>
          <w:sz w:val="26"/>
          <w:szCs w:val="26"/>
        </w:rPr>
        <w:t>t qualitatively</w:t>
      </w:r>
      <w:r w:rsidR="0044222F">
        <w:rPr>
          <w:sz w:val="26"/>
          <w:szCs w:val="26"/>
        </w:rPr>
        <w:t xml:space="preserve"> different from smart meters, which the OCA as</w:t>
      </w:r>
      <w:r w:rsidR="00724806">
        <w:rPr>
          <w:sz w:val="26"/>
          <w:szCs w:val="26"/>
        </w:rPr>
        <w:t>serts</w:t>
      </w:r>
      <w:r w:rsidR="0044222F">
        <w:rPr>
          <w:sz w:val="26"/>
          <w:szCs w:val="26"/>
        </w:rPr>
        <w:t xml:space="preserve"> are intended to reduce and stabilize the cost of energy.  </w:t>
      </w:r>
      <w:r w:rsidR="003D6BB2" w:rsidRPr="003D6BB2">
        <w:rPr>
          <w:i/>
          <w:sz w:val="26"/>
          <w:szCs w:val="26"/>
        </w:rPr>
        <w:t>Id</w:t>
      </w:r>
      <w:r w:rsidR="003D6BB2">
        <w:rPr>
          <w:sz w:val="26"/>
          <w:szCs w:val="26"/>
        </w:rPr>
        <w:t>. at 19-20.</w:t>
      </w:r>
      <w:r>
        <w:rPr>
          <w:sz w:val="26"/>
          <w:szCs w:val="26"/>
        </w:rPr>
        <w:t xml:space="preserve"> </w:t>
      </w:r>
    </w:p>
    <w:p w:rsidR="009710DA" w:rsidRDefault="009710DA" w:rsidP="003F2CE4">
      <w:pPr>
        <w:spacing w:line="360" w:lineRule="auto"/>
        <w:ind w:firstLine="1440"/>
        <w:rPr>
          <w:sz w:val="26"/>
          <w:szCs w:val="26"/>
        </w:rPr>
      </w:pPr>
    </w:p>
    <w:p w:rsidR="009710DA" w:rsidRPr="00C8645C" w:rsidRDefault="009710DA" w:rsidP="009710DA">
      <w:pPr>
        <w:spacing w:line="360" w:lineRule="auto"/>
        <w:ind w:firstLine="1440"/>
        <w:rPr>
          <w:i/>
          <w:sz w:val="26"/>
          <w:szCs w:val="26"/>
        </w:rPr>
      </w:pPr>
      <w:r>
        <w:rPr>
          <w:sz w:val="26"/>
          <w:szCs w:val="26"/>
        </w:rPr>
        <w:t xml:space="preserve">MEIUG </w:t>
      </w:r>
      <w:r w:rsidRPr="003F2CE4">
        <w:rPr>
          <w:i/>
          <w:sz w:val="26"/>
          <w:szCs w:val="26"/>
        </w:rPr>
        <w:t>et al</w:t>
      </w:r>
      <w:r w:rsidR="004E0EC1">
        <w:rPr>
          <w:i/>
          <w:sz w:val="26"/>
          <w:szCs w:val="26"/>
        </w:rPr>
        <w:t xml:space="preserve">., </w:t>
      </w:r>
      <w:r w:rsidR="004E0EC1">
        <w:rPr>
          <w:sz w:val="26"/>
          <w:szCs w:val="26"/>
        </w:rPr>
        <w:t xml:space="preserve">like the Companies, believes the ALJ correctly allocated common costs based on the number of customers.  </w:t>
      </w:r>
      <w:r w:rsidR="00C8645C">
        <w:rPr>
          <w:sz w:val="26"/>
          <w:szCs w:val="26"/>
        </w:rPr>
        <w:t xml:space="preserve">According to MEIUG </w:t>
      </w:r>
      <w:r w:rsidR="00C8645C">
        <w:rPr>
          <w:i/>
          <w:sz w:val="26"/>
          <w:szCs w:val="26"/>
        </w:rPr>
        <w:t>et al.:</w:t>
      </w:r>
    </w:p>
    <w:p w:rsidR="009710DA" w:rsidRDefault="009710DA" w:rsidP="00C8645C">
      <w:pPr>
        <w:ind w:firstLine="1440"/>
        <w:rPr>
          <w:sz w:val="26"/>
          <w:szCs w:val="26"/>
        </w:rPr>
      </w:pPr>
    </w:p>
    <w:p w:rsidR="00C8645C" w:rsidRDefault="00C8645C" w:rsidP="002D0560">
      <w:pPr>
        <w:ind w:left="1440" w:right="1440"/>
        <w:rPr>
          <w:sz w:val="26"/>
          <w:szCs w:val="26"/>
        </w:rPr>
      </w:pPr>
      <w:r>
        <w:rPr>
          <w:sz w:val="26"/>
          <w:szCs w:val="26"/>
        </w:rPr>
        <w:t>The OCA’s proposed cost allocation approach … is unsubstantiated and would require the Companies to allocate costs based on a “value of service” approach (</w:t>
      </w:r>
      <w:r w:rsidRPr="00C8645C">
        <w:rPr>
          <w:sz w:val="26"/>
          <w:szCs w:val="26"/>
          <w:u w:val="single"/>
        </w:rPr>
        <w:t>i.e.</w:t>
      </w:r>
      <w:r>
        <w:rPr>
          <w:sz w:val="26"/>
          <w:szCs w:val="26"/>
        </w:rPr>
        <w:t xml:space="preserve">, </w:t>
      </w:r>
      <w:r w:rsidR="002D0560">
        <w:rPr>
          <w:sz w:val="26"/>
          <w:szCs w:val="26"/>
        </w:rPr>
        <w:t xml:space="preserve">according to a customer’s energy or demand consumption), even though </w:t>
      </w:r>
      <w:r w:rsidR="002D0560">
        <w:rPr>
          <w:sz w:val="26"/>
          <w:szCs w:val="26"/>
        </w:rPr>
        <w:lastRenderedPageBreak/>
        <w:t>no nexus exists between the cost to the Companies for the Smart Meter Plan and a customer’s energy or demand consumption, particularly with respect to the non-direct costs of administering the smart meter communication network and other back office systems.</w:t>
      </w:r>
    </w:p>
    <w:p w:rsidR="00C8645C" w:rsidRDefault="00C8645C" w:rsidP="00C8645C">
      <w:pPr>
        <w:spacing w:line="360" w:lineRule="auto"/>
        <w:ind w:left="1440" w:right="1440"/>
        <w:rPr>
          <w:sz w:val="26"/>
          <w:szCs w:val="26"/>
        </w:rPr>
      </w:pPr>
    </w:p>
    <w:p w:rsidR="006D2276" w:rsidRDefault="002D0560" w:rsidP="002D0560">
      <w:pPr>
        <w:spacing w:line="360" w:lineRule="auto"/>
        <w:rPr>
          <w:sz w:val="26"/>
          <w:szCs w:val="26"/>
        </w:rPr>
      </w:pPr>
      <w:r>
        <w:rPr>
          <w:sz w:val="26"/>
          <w:szCs w:val="26"/>
        </w:rPr>
        <w:t xml:space="preserve">MEIUG </w:t>
      </w:r>
      <w:r>
        <w:rPr>
          <w:i/>
          <w:sz w:val="26"/>
          <w:szCs w:val="26"/>
        </w:rPr>
        <w:t xml:space="preserve">et al. </w:t>
      </w:r>
      <w:r>
        <w:rPr>
          <w:sz w:val="26"/>
          <w:szCs w:val="26"/>
        </w:rPr>
        <w:t>R.Exc. at 3.</w:t>
      </w:r>
      <w:r w:rsidR="00426D9E">
        <w:rPr>
          <w:sz w:val="26"/>
          <w:szCs w:val="26"/>
        </w:rPr>
        <w:t xml:space="preserve">  </w:t>
      </w:r>
    </w:p>
    <w:p w:rsidR="006D2276" w:rsidRDefault="006D2276" w:rsidP="002D0560">
      <w:pPr>
        <w:spacing w:line="360" w:lineRule="auto"/>
        <w:rPr>
          <w:sz w:val="26"/>
          <w:szCs w:val="26"/>
        </w:rPr>
      </w:pPr>
    </w:p>
    <w:p w:rsidR="009A278E" w:rsidRPr="006D2276" w:rsidRDefault="00426D9E" w:rsidP="006D2276">
      <w:pPr>
        <w:spacing w:line="360" w:lineRule="auto"/>
        <w:ind w:firstLine="1440"/>
        <w:rPr>
          <w:sz w:val="26"/>
          <w:szCs w:val="26"/>
        </w:rPr>
      </w:pPr>
      <w:r>
        <w:rPr>
          <w:sz w:val="26"/>
          <w:szCs w:val="26"/>
        </w:rPr>
        <w:t xml:space="preserve">MEIUG </w:t>
      </w:r>
      <w:r w:rsidRPr="00426D9E">
        <w:rPr>
          <w:i/>
          <w:sz w:val="26"/>
          <w:szCs w:val="26"/>
        </w:rPr>
        <w:t>et al.</w:t>
      </w:r>
      <w:r>
        <w:rPr>
          <w:sz w:val="26"/>
          <w:szCs w:val="26"/>
        </w:rPr>
        <w:t xml:space="preserve"> maintains that the ALJ’s decision is consistent with Commonwealth Court precedent, </w:t>
      </w:r>
      <w:r w:rsidR="0040700D">
        <w:rPr>
          <w:sz w:val="26"/>
          <w:szCs w:val="26"/>
        </w:rPr>
        <w:t xml:space="preserve">including </w:t>
      </w:r>
      <w:r w:rsidR="00DC3AC7">
        <w:rPr>
          <w:i/>
          <w:sz w:val="26"/>
          <w:szCs w:val="26"/>
        </w:rPr>
        <w:t>Lloyd v. Pa. PUC</w:t>
      </w:r>
      <w:r w:rsidR="00DC3AC7">
        <w:rPr>
          <w:sz w:val="26"/>
          <w:szCs w:val="26"/>
        </w:rPr>
        <w:t>, 904 A.2d 1010 (Cmwlth</w:t>
      </w:r>
      <w:r w:rsidR="0049406B">
        <w:rPr>
          <w:sz w:val="26"/>
          <w:szCs w:val="26"/>
        </w:rPr>
        <w:t>.</w:t>
      </w:r>
      <w:r w:rsidR="00DC3AC7">
        <w:rPr>
          <w:sz w:val="26"/>
          <w:szCs w:val="26"/>
        </w:rPr>
        <w:t xml:space="preserve"> Ct. 2006).  MEIUG </w:t>
      </w:r>
      <w:r w:rsidR="00DC3AC7" w:rsidRPr="00DC3AC7">
        <w:rPr>
          <w:i/>
          <w:sz w:val="26"/>
          <w:szCs w:val="26"/>
        </w:rPr>
        <w:t>et al.</w:t>
      </w:r>
      <w:r w:rsidR="00DC3AC7">
        <w:rPr>
          <w:sz w:val="26"/>
          <w:szCs w:val="26"/>
        </w:rPr>
        <w:t xml:space="preserve"> further argues that the ALJ’s decision is consistent with </w:t>
      </w:r>
      <w:r>
        <w:rPr>
          <w:sz w:val="26"/>
          <w:szCs w:val="26"/>
        </w:rPr>
        <w:t xml:space="preserve">the </w:t>
      </w:r>
      <w:r>
        <w:rPr>
          <w:i/>
          <w:sz w:val="26"/>
          <w:szCs w:val="26"/>
        </w:rPr>
        <w:t>Implementation Order</w:t>
      </w:r>
      <w:r>
        <w:rPr>
          <w:sz w:val="26"/>
          <w:szCs w:val="26"/>
        </w:rPr>
        <w:t xml:space="preserve"> and traditional cost causation principles.  </w:t>
      </w:r>
      <w:r w:rsidR="006D2276">
        <w:rPr>
          <w:sz w:val="26"/>
          <w:szCs w:val="26"/>
        </w:rPr>
        <w:t xml:space="preserve">Additionally, MEIUG </w:t>
      </w:r>
      <w:r w:rsidR="006D2276" w:rsidRPr="006D2276">
        <w:rPr>
          <w:i/>
          <w:sz w:val="26"/>
          <w:szCs w:val="26"/>
        </w:rPr>
        <w:t>et al.</w:t>
      </w:r>
      <w:r w:rsidR="006D2276">
        <w:rPr>
          <w:i/>
          <w:sz w:val="26"/>
          <w:szCs w:val="26"/>
        </w:rPr>
        <w:t xml:space="preserve"> </w:t>
      </w:r>
      <w:r w:rsidR="006D2276">
        <w:rPr>
          <w:sz w:val="26"/>
          <w:szCs w:val="26"/>
        </w:rPr>
        <w:t xml:space="preserve">agrees with the Companies that the Plan’s proposed treatment of smart meter costs is consistent with the Commission’s traditional rate-making treatment of common metering costs.  </w:t>
      </w:r>
      <w:r w:rsidR="006D2276" w:rsidRPr="005E77E7">
        <w:rPr>
          <w:i/>
          <w:sz w:val="26"/>
          <w:szCs w:val="26"/>
        </w:rPr>
        <w:t>Id</w:t>
      </w:r>
      <w:r w:rsidR="006D2276">
        <w:rPr>
          <w:sz w:val="26"/>
          <w:szCs w:val="26"/>
        </w:rPr>
        <w:t xml:space="preserve">. at 4-8.  </w:t>
      </w:r>
    </w:p>
    <w:p w:rsidR="009A278E" w:rsidRDefault="009A278E" w:rsidP="002D0560">
      <w:pPr>
        <w:spacing w:line="360" w:lineRule="auto"/>
        <w:rPr>
          <w:sz w:val="26"/>
          <w:szCs w:val="26"/>
        </w:rPr>
      </w:pPr>
    </w:p>
    <w:p w:rsidR="002D0560" w:rsidRPr="009A278E" w:rsidRDefault="009A278E" w:rsidP="009A278E">
      <w:pPr>
        <w:spacing w:line="360" w:lineRule="auto"/>
        <w:ind w:firstLine="1440"/>
        <w:rPr>
          <w:sz w:val="26"/>
          <w:szCs w:val="26"/>
        </w:rPr>
      </w:pPr>
      <w:r>
        <w:rPr>
          <w:sz w:val="26"/>
          <w:szCs w:val="26"/>
        </w:rPr>
        <w:t xml:space="preserve">MEIUG </w:t>
      </w:r>
      <w:r w:rsidRPr="009A278E">
        <w:rPr>
          <w:i/>
          <w:sz w:val="26"/>
          <w:szCs w:val="26"/>
        </w:rPr>
        <w:t>et al.</w:t>
      </w:r>
      <w:r>
        <w:rPr>
          <w:sz w:val="26"/>
          <w:szCs w:val="26"/>
        </w:rPr>
        <w:t xml:space="preserve"> notes that the OCA’s position is based, in part, on </w:t>
      </w:r>
      <w:r>
        <w:rPr>
          <w:i/>
          <w:sz w:val="26"/>
          <w:szCs w:val="26"/>
        </w:rPr>
        <w:t>Illinois Commerce Commission v. FERC</w:t>
      </w:r>
      <w:r>
        <w:rPr>
          <w:sz w:val="26"/>
          <w:szCs w:val="26"/>
        </w:rPr>
        <w:t>, 576 F.3d 470 (7</w:t>
      </w:r>
      <w:r w:rsidRPr="009A278E">
        <w:rPr>
          <w:sz w:val="26"/>
          <w:szCs w:val="26"/>
          <w:vertAlign w:val="superscript"/>
        </w:rPr>
        <w:t>th</w:t>
      </w:r>
      <w:r>
        <w:rPr>
          <w:sz w:val="26"/>
          <w:szCs w:val="26"/>
        </w:rPr>
        <w:t xml:space="preserve"> Cir. 2009)</w:t>
      </w:r>
      <w:r w:rsidR="004871B6">
        <w:rPr>
          <w:sz w:val="26"/>
          <w:szCs w:val="26"/>
        </w:rPr>
        <w:t>, which was an appeal of a Federal Energy Regulatory Commission order regarding the allocation of transmission network improvement and enhancement costs</w:t>
      </w:r>
      <w:r>
        <w:rPr>
          <w:sz w:val="26"/>
          <w:szCs w:val="26"/>
        </w:rPr>
        <w:t xml:space="preserve">.  According to MEIUG </w:t>
      </w:r>
      <w:r w:rsidRPr="009A278E">
        <w:rPr>
          <w:i/>
          <w:sz w:val="26"/>
          <w:szCs w:val="26"/>
        </w:rPr>
        <w:t>et al.</w:t>
      </w:r>
      <w:r>
        <w:rPr>
          <w:sz w:val="26"/>
          <w:szCs w:val="26"/>
        </w:rPr>
        <w:t xml:space="preserve">, this case is not helpful for resolving the </w:t>
      </w:r>
      <w:r w:rsidR="004871B6">
        <w:rPr>
          <w:sz w:val="26"/>
          <w:szCs w:val="26"/>
        </w:rPr>
        <w:t xml:space="preserve">issue before us because “it was decided by a federal court that exercises no jurisdictional authority over the Commonwealth of Pennsylvania and addresses costs that are not similar to the smart meter costs at issue here.”  MEIUG </w:t>
      </w:r>
      <w:r w:rsidR="004871B6">
        <w:rPr>
          <w:i/>
          <w:sz w:val="26"/>
          <w:szCs w:val="26"/>
        </w:rPr>
        <w:t xml:space="preserve">et al. </w:t>
      </w:r>
      <w:r w:rsidR="004871B6">
        <w:rPr>
          <w:sz w:val="26"/>
          <w:szCs w:val="26"/>
        </w:rPr>
        <w:t xml:space="preserve">R.Exc. at 5.  </w:t>
      </w:r>
    </w:p>
    <w:p w:rsidR="00D10F1F" w:rsidRDefault="00D10F1F" w:rsidP="002D0560">
      <w:pPr>
        <w:spacing w:line="360" w:lineRule="auto"/>
        <w:rPr>
          <w:sz w:val="26"/>
          <w:szCs w:val="26"/>
        </w:rPr>
      </w:pPr>
    </w:p>
    <w:p w:rsidR="00C50912" w:rsidRDefault="0049406B" w:rsidP="003F2CE4">
      <w:pPr>
        <w:spacing w:line="360" w:lineRule="auto"/>
        <w:ind w:firstLine="1440"/>
        <w:rPr>
          <w:sz w:val="26"/>
          <w:szCs w:val="26"/>
        </w:rPr>
      </w:pPr>
      <w:r>
        <w:rPr>
          <w:sz w:val="26"/>
          <w:szCs w:val="26"/>
        </w:rPr>
        <w:t>Similarly, t</w:t>
      </w:r>
      <w:r w:rsidR="003F2CE4">
        <w:rPr>
          <w:sz w:val="26"/>
          <w:szCs w:val="26"/>
        </w:rPr>
        <w:t>he OSB</w:t>
      </w:r>
      <w:r w:rsidR="0056322D">
        <w:rPr>
          <w:sz w:val="26"/>
          <w:szCs w:val="26"/>
        </w:rPr>
        <w:t>A</w:t>
      </w:r>
      <w:r w:rsidR="00D10F1F">
        <w:rPr>
          <w:sz w:val="26"/>
          <w:szCs w:val="26"/>
        </w:rPr>
        <w:t xml:space="preserve"> </w:t>
      </w:r>
      <w:r>
        <w:rPr>
          <w:sz w:val="26"/>
          <w:szCs w:val="26"/>
        </w:rPr>
        <w:t xml:space="preserve">requests that we </w:t>
      </w:r>
      <w:r w:rsidR="00D10F1F">
        <w:rPr>
          <w:sz w:val="26"/>
          <w:szCs w:val="26"/>
        </w:rPr>
        <w:t xml:space="preserve">adopt the ALJ’s position regarding the allocation of </w:t>
      </w:r>
      <w:r w:rsidR="0056322D">
        <w:rPr>
          <w:sz w:val="26"/>
          <w:szCs w:val="26"/>
        </w:rPr>
        <w:t xml:space="preserve">common costs.  The OSBA argues that </w:t>
      </w:r>
      <w:r>
        <w:rPr>
          <w:sz w:val="26"/>
          <w:szCs w:val="26"/>
        </w:rPr>
        <w:t>t</w:t>
      </w:r>
      <w:r w:rsidR="0056322D">
        <w:rPr>
          <w:sz w:val="26"/>
          <w:szCs w:val="26"/>
        </w:rPr>
        <w:t xml:space="preserve">he </w:t>
      </w:r>
      <w:r w:rsidR="002B7E6D">
        <w:rPr>
          <w:sz w:val="26"/>
          <w:szCs w:val="26"/>
        </w:rPr>
        <w:t>common costs</w:t>
      </w:r>
      <w:r>
        <w:rPr>
          <w:sz w:val="26"/>
          <w:szCs w:val="26"/>
        </w:rPr>
        <w:t xml:space="preserve"> in question</w:t>
      </w:r>
      <w:r w:rsidR="002B7E6D">
        <w:rPr>
          <w:sz w:val="26"/>
          <w:szCs w:val="26"/>
        </w:rPr>
        <w:t xml:space="preserve"> include such things as meter data management, network management, and administrative costs.  These costs do not</w:t>
      </w:r>
      <w:r>
        <w:rPr>
          <w:sz w:val="26"/>
          <w:szCs w:val="26"/>
        </w:rPr>
        <w:t xml:space="preserve"> vary from customer to customer</w:t>
      </w:r>
      <w:r w:rsidR="002B7E6D">
        <w:rPr>
          <w:sz w:val="26"/>
          <w:szCs w:val="26"/>
        </w:rPr>
        <w:t xml:space="preserve"> and bear no relation to energy or demand.  </w:t>
      </w:r>
      <w:r w:rsidR="00C50912">
        <w:rPr>
          <w:sz w:val="26"/>
          <w:szCs w:val="26"/>
        </w:rPr>
        <w:t>OSBA R.Exc. at 3-8.</w:t>
      </w:r>
    </w:p>
    <w:p w:rsidR="00C50912" w:rsidRDefault="00C50912" w:rsidP="003F2CE4">
      <w:pPr>
        <w:spacing w:line="360" w:lineRule="auto"/>
        <w:ind w:firstLine="1440"/>
        <w:rPr>
          <w:sz w:val="26"/>
          <w:szCs w:val="26"/>
        </w:rPr>
      </w:pPr>
    </w:p>
    <w:p w:rsidR="002B7E6D" w:rsidRDefault="00C50912" w:rsidP="003F2CE4">
      <w:pPr>
        <w:spacing w:line="360" w:lineRule="auto"/>
        <w:ind w:firstLine="1440"/>
        <w:rPr>
          <w:sz w:val="26"/>
          <w:szCs w:val="26"/>
        </w:rPr>
      </w:pPr>
      <w:r>
        <w:rPr>
          <w:sz w:val="26"/>
          <w:szCs w:val="26"/>
        </w:rPr>
        <w:t xml:space="preserve">The OSBA </w:t>
      </w:r>
      <w:r w:rsidR="00122D19">
        <w:rPr>
          <w:sz w:val="26"/>
          <w:szCs w:val="26"/>
        </w:rPr>
        <w:t>argues that the OCA’s position is based on faulty assumptions.  Th</w:t>
      </w:r>
      <w:r w:rsidR="0094181A">
        <w:rPr>
          <w:sz w:val="26"/>
          <w:szCs w:val="26"/>
        </w:rPr>
        <w:t>e OCA erroneously assumes that c</w:t>
      </w:r>
      <w:r w:rsidR="00122D19">
        <w:rPr>
          <w:sz w:val="26"/>
          <w:szCs w:val="26"/>
        </w:rPr>
        <w:t xml:space="preserve">ommercial ratepayers are more likely to reduce their electric bills through the use of smart meters than are Residential ratepayers.  The OSBA contends that the record does not support this assumption.  The OSBA </w:t>
      </w:r>
      <w:r w:rsidR="00AC5EAF">
        <w:rPr>
          <w:sz w:val="26"/>
          <w:szCs w:val="26"/>
        </w:rPr>
        <w:t>also d</w:t>
      </w:r>
      <w:r>
        <w:rPr>
          <w:sz w:val="26"/>
          <w:szCs w:val="26"/>
        </w:rPr>
        <w:t xml:space="preserve">isagrees with the OCA’s </w:t>
      </w:r>
      <w:r w:rsidR="00AC5EAF">
        <w:rPr>
          <w:sz w:val="26"/>
          <w:szCs w:val="26"/>
        </w:rPr>
        <w:t xml:space="preserve">assumption </w:t>
      </w:r>
      <w:r w:rsidR="00B60353">
        <w:rPr>
          <w:sz w:val="26"/>
          <w:szCs w:val="26"/>
        </w:rPr>
        <w:t xml:space="preserve">that the principle reason for </w:t>
      </w:r>
      <w:r w:rsidR="0049406B">
        <w:rPr>
          <w:sz w:val="26"/>
          <w:szCs w:val="26"/>
        </w:rPr>
        <w:t xml:space="preserve">the General Assembly’s decision to </w:t>
      </w:r>
      <w:r>
        <w:rPr>
          <w:sz w:val="26"/>
          <w:szCs w:val="26"/>
        </w:rPr>
        <w:t>mandat</w:t>
      </w:r>
      <w:r w:rsidR="0049406B">
        <w:rPr>
          <w:sz w:val="26"/>
          <w:szCs w:val="26"/>
        </w:rPr>
        <w:t>e</w:t>
      </w:r>
      <w:r>
        <w:rPr>
          <w:sz w:val="26"/>
          <w:szCs w:val="26"/>
        </w:rPr>
        <w:t xml:space="preserve"> </w:t>
      </w:r>
      <w:r w:rsidR="0049406B">
        <w:rPr>
          <w:sz w:val="26"/>
          <w:szCs w:val="26"/>
        </w:rPr>
        <w:t>t</w:t>
      </w:r>
      <w:r w:rsidR="00DA0DE7">
        <w:rPr>
          <w:sz w:val="26"/>
          <w:szCs w:val="26"/>
        </w:rPr>
        <w:t>he deployment of smart meters i</w:t>
      </w:r>
      <w:r>
        <w:rPr>
          <w:sz w:val="26"/>
          <w:szCs w:val="26"/>
        </w:rPr>
        <w:t xml:space="preserve">s to save ratepayers money.  </w:t>
      </w:r>
      <w:r w:rsidR="00AC5EAF">
        <w:rPr>
          <w:sz w:val="26"/>
          <w:szCs w:val="26"/>
        </w:rPr>
        <w:t>O</w:t>
      </w:r>
      <w:r>
        <w:rPr>
          <w:sz w:val="26"/>
          <w:szCs w:val="26"/>
        </w:rPr>
        <w:t xml:space="preserve">ne of the policy goals of Act 129 is to reduce </w:t>
      </w:r>
      <w:r w:rsidR="00AC5EAF">
        <w:rPr>
          <w:sz w:val="26"/>
          <w:szCs w:val="26"/>
        </w:rPr>
        <w:t xml:space="preserve">the </w:t>
      </w:r>
      <w:r>
        <w:rPr>
          <w:sz w:val="26"/>
          <w:szCs w:val="26"/>
        </w:rPr>
        <w:t xml:space="preserve">air emissions associated with energy use.  </w:t>
      </w:r>
      <w:r w:rsidR="00122D19">
        <w:rPr>
          <w:sz w:val="26"/>
          <w:szCs w:val="26"/>
        </w:rPr>
        <w:t>All ratepayers will experience th</w:t>
      </w:r>
      <w:r>
        <w:rPr>
          <w:sz w:val="26"/>
          <w:szCs w:val="26"/>
        </w:rPr>
        <w:t>ese environmen</w:t>
      </w:r>
      <w:r w:rsidR="00122D19">
        <w:rPr>
          <w:sz w:val="26"/>
          <w:szCs w:val="26"/>
        </w:rPr>
        <w:t>tal benefits, even if the</w:t>
      </w:r>
      <w:r w:rsidR="0094181A">
        <w:rPr>
          <w:sz w:val="26"/>
          <w:szCs w:val="26"/>
        </w:rPr>
        <w:t>ir electric bills do not decrease</w:t>
      </w:r>
      <w:r w:rsidR="00122D19">
        <w:rPr>
          <w:sz w:val="26"/>
          <w:szCs w:val="26"/>
        </w:rPr>
        <w:t xml:space="preserve"> because of smart meters.  </w:t>
      </w:r>
      <w:r w:rsidR="00122D19" w:rsidRPr="005935C5">
        <w:rPr>
          <w:i/>
          <w:sz w:val="26"/>
          <w:szCs w:val="26"/>
        </w:rPr>
        <w:t>Id</w:t>
      </w:r>
      <w:r w:rsidR="00122D19">
        <w:rPr>
          <w:sz w:val="26"/>
          <w:szCs w:val="26"/>
        </w:rPr>
        <w:t xml:space="preserve">. at 8-9. </w:t>
      </w:r>
    </w:p>
    <w:p w:rsidR="002B7E6D" w:rsidRDefault="002B7E6D" w:rsidP="003F2CE4">
      <w:pPr>
        <w:spacing w:line="360" w:lineRule="auto"/>
        <w:ind w:firstLine="1440"/>
        <w:rPr>
          <w:sz w:val="26"/>
          <w:szCs w:val="26"/>
        </w:rPr>
      </w:pPr>
    </w:p>
    <w:p w:rsidR="00122D19" w:rsidRDefault="00A07A41" w:rsidP="003F2CE4">
      <w:pPr>
        <w:spacing w:line="360" w:lineRule="auto"/>
        <w:ind w:firstLine="1440"/>
        <w:rPr>
          <w:sz w:val="26"/>
          <w:szCs w:val="26"/>
        </w:rPr>
      </w:pPr>
      <w:r>
        <w:rPr>
          <w:sz w:val="26"/>
          <w:szCs w:val="26"/>
        </w:rPr>
        <w:t xml:space="preserve">If, however, the Commission </w:t>
      </w:r>
      <w:r w:rsidR="005935C5">
        <w:rPr>
          <w:sz w:val="26"/>
          <w:szCs w:val="26"/>
        </w:rPr>
        <w:t xml:space="preserve">finds that common costs should not be allocated solely on the basis of customer count, the OSBA recommends an alternative approach:  allocate the common costs in proportion to the allocation of the meters’ costs.  “This alternative could be implemented by estimating the meters costs (which would not be incurred during the Assessment Period) and reconciling those estimates when the actual costs are known.”  </w:t>
      </w:r>
      <w:r w:rsidR="005935C5" w:rsidRPr="005935C5">
        <w:rPr>
          <w:i/>
          <w:sz w:val="26"/>
          <w:szCs w:val="26"/>
        </w:rPr>
        <w:t>Id</w:t>
      </w:r>
      <w:r w:rsidR="005935C5">
        <w:rPr>
          <w:sz w:val="26"/>
          <w:szCs w:val="26"/>
        </w:rPr>
        <w:t xml:space="preserve">. at 11.  </w:t>
      </w:r>
    </w:p>
    <w:p w:rsidR="00836BC7" w:rsidRPr="003F2CE4" w:rsidRDefault="00836BC7" w:rsidP="003F2CE4">
      <w:pPr>
        <w:spacing w:line="360" w:lineRule="auto"/>
        <w:rPr>
          <w:sz w:val="26"/>
          <w:szCs w:val="26"/>
        </w:rPr>
      </w:pPr>
    </w:p>
    <w:p w:rsidR="006C5448" w:rsidRPr="003F2CE4" w:rsidRDefault="006C5448" w:rsidP="006C5448">
      <w:pPr>
        <w:pStyle w:val="Heading4"/>
        <w:rPr>
          <w:szCs w:val="26"/>
        </w:rPr>
      </w:pPr>
      <w:bookmarkStart w:id="129" w:name="_Toc259798248"/>
      <w:bookmarkStart w:id="130" w:name="_Toc263848892"/>
      <w:r w:rsidRPr="003F2CE4">
        <w:rPr>
          <w:szCs w:val="26"/>
        </w:rPr>
        <w:t>d.</w:t>
      </w:r>
      <w:r w:rsidRPr="003F2CE4">
        <w:rPr>
          <w:szCs w:val="26"/>
        </w:rPr>
        <w:tab/>
        <w:t>Disposition</w:t>
      </w:r>
      <w:bookmarkEnd w:id="129"/>
      <w:bookmarkEnd w:id="130"/>
    </w:p>
    <w:p w:rsidR="008E496C" w:rsidRDefault="008E496C" w:rsidP="002F5812">
      <w:pPr>
        <w:spacing w:line="360" w:lineRule="auto"/>
        <w:ind w:firstLine="2160"/>
        <w:rPr>
          <w:sz w:val="26"/>
          <w:szCs w:val="26"/>
        </w:rPr>
      </w:pPr>
    </w:p>
    <w:p w:rsidR="00070DBA" w:rsidRDefault="00070DBA" w:rsidP="00070DBA">
      <w:pPr>
        <w:spacing w:line="360" w:lineRule="auto"/>
        <w:ind w:firstLine="1440"/>
        <w:rPr>
          <w:sz w:val="26"/>
          <w:szCs w:val="26"/>
        </w:rPr>
      </w:pPr>
      <w:r>
        <w:rPr>
          <w:sz w:val="26"/>
          <w:szCs w:val="26"/>
        </w:rPr>
        <w:t>The ALJ has recommended adoption of the Companies’ proposal to allocate non-direct common costs based upon the number of customers in each class divided by the total number of customers.  This methodology has also been supported by</w:t>
      </w:r>
      <w:r w:rsidR="0094181A">
        <w:rPr>
          <w:sz w:val="26"/>
          <w:szCs w:val="26"/>
        </w:rPr>
        <w:t xml:space="preserve"> MEIUG</w:t>
      </w:r>
      <w:r>
        <w:rPr>
          <w:sz w:val="26"/>
          <w:szCs w:val="26"/>
        </w:rPr>
        <w:t xml:space="preserve"> </w:t>
      </w:r>
      <w:r>
        <w:rPr>
          <w:i/>
          <w:sz w:val="26"/>
          <w:szCs w:val="26"/>
        </w:rPr>
        <w:t>et al.</w:t>
      </w:r>
      <w:r>
        <w:rPr>
          <w:sz w:val="26"/>
          <w:szCs w:val="26"/>
        </w:rPr>
        <w:t xml:space="preserve"> and the OSBA.  We disagree.  We do</w:t>
      </w:r>
      <w:r w:rsidR="00A0570E">
        <w:rPr>
          <w:sz w:val="26"/>
          <w:szCs w:val="26"/>
        </w:rPr>
        <w:t>,</w:t>
      </w:r>
      <w:r>
        <w:rPr>
          <w:sz w:val="26"/>
          <w:szCs w:val="26"/>
        </w:rPr>
        <w:t xml:space="preserve"> however</w:t>
      </w:r>
      <w:r w:rsidR="00A0570E">
        <w:rPr>
          <w:sz w:val="26"/>
          <w:szCs w:val="26"/>
        </w:rPr>
        <w:t>,</w:t>
      </w:r>
      <w:r>
        <w:rPr>
          <w:sz w:val="26"/>
          <w:szCs w:val="26"/>
        </w:rPr>
        <w:t xml:space="preserve"> support the ALJ</w:t>
      </w:r>
      <w:r w:rsidR="0094181A">
        <w:rPr>
          <w:sz w:val="26"/>
          <w:szCs w:val="26"/>
        </w:rPr>
        <w:t>’s</w:t>
      </w:r>
      <w:r>
        <w:rPr>
          <w:sz w:val="26"/>
          <w:szCs w:val="26"/>
        </w:rPr>
        <w:t xml:space="preserve"> rejection </w:t>
      </w:r>
      <w:r w:rsidR="0094181A">
        <w:rPr>
          <w:sz w:val="26"/>
          <w:szCs w:val="26"/>
        </w:rPr>
        <w:t xml:space="preserve">of </w:t>
      </w:r>
      <w:r>
        <w:rPr>
          <w:sz w:val="26"/>
          <w:szCs w:val="26"/>
        </w:rPr>
        <w:t>the OCA’s proposal</w:t>
      </w:r>
      <w:r w:rsidR="0094181A">
        <w:rPr>
          <w:sz w:val="26"/>
          <w:szCs w:val="26"/>
        </w:rPr>
        <w:t>, based on the conclusion</w:t>
      </w:r>
      <w:r>
        <w:rPr>
          <w:sz w:val="26"/>
          <w:szCs w:val="26"/>
        </w:rPr>
        <w:t xml:space="preserve"> that the OCA was “ignoring long-standing principles of cost causation.”  I.D. at 55.</w:t>
      </w:r>
    </w:p>
    <w:p w:rsidR="00070DBA" w:rsidRDefault="00070DBA" w:rsidP="00070DBA">
      <w:pPr>
        <w:spacing w:line="360" w:lineRule="auto"/>
        <w:ind w:firstLine="1440"/>
        <w:rPr>
          <w:sz w:val="26"/>
          <w:szCs w:val="26"/>
        </w:rPr>
      </w:pPr>
    </w:p>
    <w:p w:rsidR="00070DBA" w:rsidRDefault="00070DBA" w:rsidP="00070DBA">
      <w:pPr>
        <w:spacing w:line="360" w:lineRule="auto"/>
        <w:ind w:firstLine="1440"/>
        <w:rPr>
          <w:sz w:val="26"/>
          <w:szCs w:val="26"/>
        </w:rPr>
      </w:pPr>
      <w:r>
        <w:rPr>
          <w:sz w:val="26"/>
          <w:szCs w:val="26"/>
        </w:rPr>
        <w:t xml:space="preserve">The ALJ found that the Plan’s non-direct common costs would be incurred without regard to energy consumption or customer demand.  I.D. at 55.  We believe that </w:t>
      </w:r>
      <w:r>
        <w:rPr>
          <w:sz w:val="26"/>
          <w:szCs w:val="26"/>
        </w:rPr>
        <w:lastRenderedPageBreak/>
        <w:t>the non-direct common costs incurred are related to the number of meters to be installed or upgraded pursuant to the Companies’ Plan.  While one could argue that the number of meters is virtually equivalent to the number of customers, especially when the residential class is considered, in some instances</w:t>
      </w:r>
      <w:r w:rsidR="00A0570E">
        <w:rPr>
          <w:sz w:val="26"/>
          <w:szCs w:val="26"/>
        </w:rPr>
        <w:t>,</w:t>
      </w:r>
      <w:r>
        <w:rPr>
          <w:sz w:val="26"/>
          <w:szCs w:val="26"/>
        </w:rPr>
        <w:t xml:space="preserve"> a single customer will have more than one meter.  We also believe that allocating the non-direct common costs over the number of meters is reasonable in that it will more accurately reflect the level of common costs for each rate class and the extent to which these investments and services enable customers to participate in the smart meter program.  Therefore, we shall </w:t>
      </w:r>
      <w:r w:rsidR="00A0570E">
        <w:rPr>
          <w:sz w:val="26"/>
          <w:szCs w:val="26"/>
        </w:rPr>
        <w:t>direct that</w:t>
      </w:r>
      <w:r>
        <w:rPr>
          <w:sz w:val="26"/>
          <w:szCs w:val="26"/>
        </w:rPr>
        <w:t xml:space="preserve"> each of the </w:t>
      </w:r>
      <w:r w:rsidR="00A0570E">
        <w:rPr>
          <w:sz w:val="26"/>
          <w:szCs w:val="26"/>
        </w:rPr>
        <w:t>C</w:t>
      </w:r>
      <w:r>
        <w:rPr>
          <w:sz w:val="26"/>
          <w:szCs w:val="26"/>
        </w:rPr>
        <w:t>ompanies allocate all non-direct common costs pursuant to the number of meters in each rate class divided by the total number of meters served by each Comp</w:t>
      </w:r>
      <w:r w:rsidR="00A0570E">
        <w:rPr>
          <w:sz w:val="26"/>
          <w:szCs w:val="26"/>
        </w:rPr>
        <w:t>any.  Accordingly, the Parties’ E</w:t>
      </w:r>
      <w:r>
        <w:rPr>
          <w:sz w:val="26"/>
          <w:szCs w:val="26"/>
        </w:rPr>
        <w:t>xceptions to this issue are denied.</w:t>
      </w:r>
    </w:p>
    <w:p w:rsidR="00070DBA" w:rsidRDefault="00070DBA" w:rsidP="00070DBA">
      <w:pPr>
        <w:spacing w:line="360" w:lineRule="auto"/>
        <w:ind w:firstLine="1440"/>
        <w:rPr>
          <w:sz w:val="26"/>
          <w:szCs w:val="26"/>
        </w:rPr>
      </w:pPr>
    </w:p>
    <w:p w:rsidR="008E496C" w:rsidRDefault="008E496C" w:rsidP="008E496C">
      <w:pPr>
        <w:pStyle w:val="Heading3"/>
      </w:pPr>
      <w:bookmarkStart w:id="131" w:name="_Toc259798249"/>
      <w:bookmarkStart w:id="132" w:name="_Toc263848893"/>
      <w:r>
        <w:t>7.</w:t>
      </w:r>
      <w:r>
        <w:tab/>
        <w:t>Rate Design</w:t>
      </w:r>
      <w:bookmarkEnd w:id="131"/>
      <w:bookmarkEnd w:id="132"/>
      <w:r w:rsidR="00903510">
        <w:t xml:space="preserve"> </w:t>
      </w:r>
    </w:p>
    <w:p w:rsidR="00BA3433" w:rsidRDefault="00BA3433" w:rsidP="006C5448">
      <w:pPr>
        <w:pStyle w:val="Heading4"/>
      </w:pPr>
      <w:bookmarkStart w:id="133" w:name="_Toc242516351"/>
      <w:bookmarkEnd w:id="24"/>
    </w:p>
    <w:p w:rsidR="006C5448" w:rsidRDefault="006C5448" w:rsidP="006C5448">
      <w:pPr>
        <w:pStyle w:val="Heading4"/>
      </w:pPr>
      <w:bookmarkStart w:id="134" w:name="_Toc259798250"/>
      <w:bookmarkStart w:id="135" w:name="_Toc263848894"/>
      <w:r>
        <w:t>a.</w:t>
      </w:r>
      <w:r>
        <w:tab/>
      </w:r>
      <w:r w:rsidR="00903510">
        <w:t>Residential</w:t>
      </w:r>
      <w:bookmarkEnd w:id="134"/>
      <w:bookmarkEnd w:id="135"/>
      <w:r w:rsidR="00903510">
        <w:t xml:space="preserve"> </w:t>
      </w:r>
    </w:p>
    <w:p w:rsidR="006C5448" w:rsidRDefault="006C5448" w:rsidP="006C5448">
      <w:pPr>
        <w:spacing w:line="360" w:lineRule="auto"/>
        <w:ind w:firstLine="2160"/>
        <w:rPr>
          <w:sz w:val="26"/>
          <w:szCs w:val="26"/>
        </w:rPr>
      </w:pPr>
    </w:p>
    <w:p w:rsidR="00903510" w:rsidRDefault="00903510" w:rsidP="00903510">
      <w:pPr>
        <w:pStyle w:val="Heading5"/>
      </w:pPr>
      <w:bookmarkStart w:id="136" w:name="_Toc263848895"/>
      <w:r>
        <w:t>i.</w:t>
      </w:r>
      <w:r>
        <w:tab/>
      </w:r>
      <w:r w:rsidR="00B55DC4">
        <w:t>FirstEnergy</w:t>
      </w:r>
      <w:r>
        <w:t>’s Plan</w:t>
      </w:r>
      <w:bookmarkEnd w:id="136"/>
    </w:p>
    <w:p w:rsidR="00903510" w:rsidRDefault="00903510" w:rsidP="00903510">
      <w:pPr>
        <w:spacing w:line="360" w:lineRule="auto"/>
        <w:ind w:firstLine="2880"/>
        <w:rPr>
          <w:sz w:val="26"/>
          <w:szCs w:val="26"/>
        </w:rPr>
      </w:pPr>
    </w:p>
    <w:p w:rsidR="00942F97" w:rsidRDefault="00942F97" w:rsidP="00942F97">
      <w:pPr>
        <w:spacing w:line="360" w:lineRule="auto"/>
        <w:ind w:firstLine="1440"/>
        <w:rPr>
          <w:sz w:val="26"/>
          <w:szCs w:val="26"/>
        </w:rPr>
      </w:pPr>
      <w:r>
        <w:rPr>
          <w:sz w:val="26"/>
          <w:szCs w:val="26"/>
        </w:rPr>
        <w:t xml:space="preserve">The Companies’ </w:t>
      </w:r>
      <w:r w:rsidR="007F1D6A">
        <w:rPr>
          <w:sz w:val="26"/>
          <w:szCs w:val="26"/>
        </w:rPr>
        <w:t xml:space="preserve">Plan </w:t>
      </w:r>
      <w:r>
        <w:rPr>
          <w:sz w:val="26"/>
          <w:szCs w:val="26"/>
        </w:rPr>
        <w:t xml:space="preserve">proposed that smart meter plan costs </w:t>
      </w:r>
      <w:r w:rsidR="00EA57D8">
        <w:rPr>
          <w:sz w:val="26"/>
          <w:szCs w:val="26"/>
        </w:rPr>
        <w:t xml:space="preserve">assigned to each class be recovered using a </w:t>
      </w:r>
      <w:r>
        <w:rPr>
          <w:sz w:val="26"/>
          <w:szCs w:val="26"/>
        </w:rPr>
        <w:t xml:space="preserve">fixed customer charge.  </w:t>
      </w:r>
      <w:r w:rsidR="00EA57D8">
        <w:rPr>
          <w:sz w:val="26"/>
          <w:szCs w:val="26"/>
        </w:rPr>
        <w:t xml:space="preserve">The OCA argued that costs should be allocated primarily on a volumetric basis.  OCA MB at 37-39.   </w:t>
      </w:r>
    </w:p>
    <w:p w:rsidR="00EB7ECA" w:rsidRDefault="00EB7ECA" w:rsidP="00903510">
      <w:pPr>
        <w:spacing w:line="360" w:lineRule="auto"/>
        <w:ind w:firstLine="2880"/>
        <w:rPr>
          <w:sz w:val="26"/>
          <w:szCs w:val="26"/>
        </w:rPr>
      </w:pPr>
    </w:p>
    <w:p w:rsidR="00903510" w:rsidRDefault="00903510" w:rsidP="00903510">
      <w:pPr>
        <w:pStyle w:val="Heading5"/>
      </w:pPr>
      <w:bookmarkStart w:id="137" w:name="_Toc263848896"/>
      <w:r>
        <w:t>ii.</w:t>
      </w:r>
      <w:r>
        <w:tab/>
        <w:t>ALJ’s Recommendation</w:t>
      </w:r>
      <w:bookmarkEnd w:id="137"/>
    </w:p>
    <w:p w:rsidR="00942F97" w:rsidRDefault="00942F97" w:rsidP="00942F97">
      <w:pPr>
        <w:spacing w:line="360" w:lineRule="auto"/>
        <w:ind w:firstLine="1440"/>
        <w:rPr>
          <w:sz w:val="26"/>
          <w:szCs w:val="26"/>
        </w:rPr>
      </w:pPr>
    </w:p>
    <w:p w:rsidR="00903510" w:rsidRDefault="00942F97" w:rsidP="00942F97">
      <w:pPr>
        <w:spacing w:line="360" w:lineRule="auto"/>
        <w:ind w:firstLine="1440"/>
        <w:rPr>
          <w:sz w:val="26"/>
          <w:szCs w:val="26"/>
        </w:rPr>
      </w:pPr>
      <w:r>
        <w:rPr>
          <w:sz w:val="26"/>
          <w:szCs w:val="26"/>
        </w:rPr>
        <w:t xml:space="preserve">The ALJ approved </w:t>
      </w:r>
      <w:r w:rsidR="00B55DC4">
        <w:rPr>
          <w:sz w:val="26"/>
          <w:szCs w:val="26"/>
        </w:rPr>
        <w:t>FirstEnergy</w:t>
      </w:r>
      <w:r>
        <w:rPr>
          <w:sz w:val="26"/>
          <w:szCs w:val="26"/>
        </w:rPr>
        <w:t>’s proposal without discussion.</w:t>
      </w:r>
    </w:p>
    <w:p w:rsidR="00942F97" w:rsidRDefault="00942F97" w:rsidP="006C5448">
      <w:pPr>
        <w:spacing w:line="360" w:lineRule="auto"/>
        <w:ind w:firstLine="2160"/>
        <w:rPr>
          <w:sz w:val="26"/>
          <w:szCs w:val="26"/>
        </w:rPr>
      </w:pPr>
    </w:p>
    <w:p w:rsidR="003B6E03" w:rsidRDefault="003B6E03">
      <w:pPr>
        <w:spacing w:after="200" w:line="276" w:lineRule="auto"/>
        <w:rPr>
          <w:rFonts w:eastAsiaTheme="majorEastAsia" w:cstheme="majorBidi"/>
          <w:b/>
          <w:sz w:val="26"/>
        </w:rPr>
      </w:pPr>
      <w:r>
        <w:br w:type="page"/>
      </w:r>
    </w:p>
    <w:p w:rsidR="00903510" w:rsidRDefault="00903510" w:rsidP="00903510">
      <w:pPr>
        <w:pStyle w:val="Heading5"/>
      </w:pPr>
      <w:bookmarkStart w:id="138" w:name="_Toc263848897"/>
      <w:r>
        <w:lastRenderedPageBreak/>
        <w:t>iii.</w:t>
      </w:r>
      <w:r>
        <w:tab/>
        <w:t>Positions of the Parties</w:t>
      </w:r>
      <w:bookmarkEnd w:id="138"/>
    </w:p>
    <w:p w:rsidR="00903510" w:rsidRDefault="00903510" w:rsidP="006C5448">
      <w:pPr>
        <w:spacing w:line="360" w:lineRule="auto"/>
        <w:ind w:firstLine="2160"/>
        <w:rPr>
          <w:sz w:val="26"/>
          <w:szCs w:val="26"/>
        </w:rPr>
      </w:pPr>
    </w:p>
    <w:p w:rsidR="00942F97" w:rsidRDefault="00663049" w:rsidP="00EB7ECA">
      <w:pPr>
        <w:spacing w:line="360" w:lineRule="auto"/>
        <w:ind w:firstLine="1440"/>
        <w:rPr>
          <w:sz w:val="26"/>
          <w:szCs w:val="26"/>
        </w:rPr>
      </w:pPr>
      <w:r>
        <w:rPr>
          <w:sz w:val="26"/>
          <w:szCs w:val="26"/>
        </w:rPr>
        <w:t>T</w:t>
      </w:r>
      <w:r w:rsidR="00EB7ECA">
        <w:rPr>
          <w:sz w:val="26"/>
          <w:szCs w:val="26"/>
        </w:rPr>
        <w:t>he OCA</w:t>
      </w:r>
      <w:r>
        <w:rPr>
          <w:sz w:val="26"/>
          <w:szCs w:val="26"/>
        </w:rPr>
        <w:t xml:space="preserve"> excepted to the ALJ’s decision </w:t>
      </w:r>
      <w:r w:rsidR="008A3F38">
        <w:rPr>
          <w:sz w:val="26"/>
          <w:szCs w:val="26"/>
        </w:rPr>
        <w:t>as it pertains to reside</w:t>
      </w:r>
      <w:r>
        <w:rPr>
          <w:sz w:val="26"/>
          <w:szCs w:val="26"/>
        </w:rPr>
        <w:t>n</w:t>
      </w:r>
      <w:r w:rsidR="008A3F38">
        <w:rPr>
          <w:sz w:val="26"/>
          <w:szCs w:val="26"/>
        </w:rPr>
        <w:t>t</w:t>
      </w:r>
      <w:r>
        <w:rPr>
          <w:sz w:val="26"/>
          <w:szCs w:val="26"/>
        </w:rPr>
        <w:t>i</w:t>
      </w:r>
      <w:r w:rsidR="008A3F38">
        <w:rPr>
          <w:sz w:val="26"/>
          <w:szCs w:val="26"/>
        </w:rPr>
        <w:t>a</w:t>
      </w:r>
      <w:r>
        <w:rPr>
          <w:sz w:val="26"/>
          <w:szCs w:val="26"/>
        </w:rPr>
        <w:t xml:space="preserve">l customers. </w:t>
      </w:r>
      <w:r w:rsidR="008A3F38">
        <w:rPr>
          <w:sz w:val="26"/>
          <w:szCs w:val="26"/>
        </w:rPr>
        <w:t xml:space="preserve">  </w:t>
      </w:r>
      <w:r w:rsidR="007013BC">
        <w:rPr>
          <w:sz w:val="26"/>
          <w:szCs w:val="26"/>
        </w:rPr>
        <w:t xml:space="preserve">OCA Exc. at 17.  The OCA contends that </w:t>
      </w:r>
      <w:r w:rsidR="00EB7ECA">
        <w:rPr>
          <w:sz w:val="26"/>
          <w:szCs w:val="26"/>
        </w:rPr>
        <w:t xml:space="preserve">costs should be recovered from </w:t>
      </w:r>
      <w:r w:rsidR="007013BC">
        <w:rPr>
          <w:sz w:val="26"/>
          <w:szCs w:val="26"/>
        </w:rPr>
        <w:t xml:space="preserve">within the </w:t>
      </w:r>
      <w:r w:rsidR="00EB7ECA">
        <w:rPr>
          <w:sz w:val="26"/>
          <w:szCs w:val="26"/>
        </w:rPr>
        <w:t xml:space="preserve">residential </w:t>
      </w:r>
      <w:r w:rsidR="007013BC">
        <w:rPr>
          <w:sz w:val="26"/>
          <w:szCs w:val="26"/>
        </w:rPr>
        <w:t xml:space="preserve">class </w:t>
      </w:r>
      <w:r w:rsidR="00EB7ECA">
        <w:rPr>
          <w:sz w:val="26"/>
          <w:szCs w:val="26"/>
        </w:rPr>
        <w:t>on a per kWh, or usage, basis.  This approach reflects the greater benefits that residential customers with greater usage stand to realize from smart meter capabilities.  OCA Exc. at 17-19.</w:t>
      </w:r>
    </w:p>
    <w:p w:rsidR="00942F97" w:rsidRDefault="00942F97" w:rsidP="006C5448">
      <w:pPr>
        <w:spacing w:line="360" w:lineRule="auto"/>
        <w:ind w:firstLine="2160"/>
        <w:rPr>
          <w:sz w:val="26"/>
          <w:szCs w:val="26"/>
        </w:rPr>
      </w:pPr>
    </w:p>
    <w:p w:rsidR="00EB7ECA" w:rsidRDefault="00B55DC4" w:rsidP="00EB7ECA">
      <w:pPr>
        <w:spacing w:line="360" w:lineRule="auto"/>
        <w:ind w:firstLine="1440"/>
        <w:rPr>
          <w:sz w:val="26"/>
          <w:szCs w:val="26"/>
        </w:rPr>
      </w:pPr>
      <w:r>
        <w:rPr>
          <w:sz w:val="26"/>
          <w:szCs w:val="26"/>
        </w:rPr>
        <w:t>FirstEnergy</w:t>
      </w:r>
      <w:r w:rsidR="00E666C5">
        <w:rPr>
          <w:sz w:val="26"/>
          <w:szCs w:val="26"/>
        </w:rPr>
        <w:t xml:space="preserve"> notes that </w:t>
      </w:r>
      <w:r w:rsidR="00A0570E">
        <w:rPr>
          <w:sz w:val="26"/>
          <w:szCs w:val="26"/>
        </w:rPr>
        <w:t xml:space="preserve">the </w:t>
      </w:r>
      <w:r w:rsidR="00E666C5">
        <w:rPr>
          <w:sz w:val="26"/>
          <w:szCs w:val="26"/>
        </w:rPr>
        <w:t xml:space="preserve">OCA’s argument on this issue is essentially an extension of the OCA’s argument regarding the allocation of common costs.  Both arguments should be rejected for the same reasons.  In addition, </w:t>
      </w:r>
      <w:r>
        <w:rPr>
          <w:sz w:val="26"/>
          <w:szCs w:val="26"/>
        </w:rPr>
        <w:t>FirstEnergy</w:t>
      </w:r>
      <w:r w:rsidR="00E666C5">
        <w:rPr>
          <w:sz w:val="26"/>
          <w:szCs w:val="26"/>
        </w:rPr>
        <w:t xml:space="preserve"> states that </w:t>
      </w:r>
      <w:r>
        <w:rPr>
          <w:sz w:val="26"/>
          <w:szCs w:val="26"/>
        </w:rPr>
        <w:t>Smart Meter Plan</w:t>
      </w:r>
      <w:r w:rsidR="00EB7ECA">
        <w:rPr>
          <w:sz w:val="26"/>
          <w:szCs w:val="26"/>
        </w:rPr>
        <w:t xml:space="preserve"> costs represent a “basic” customer cost that is properly recovered as part of the customer charge.  </w:t>
      </w:r>
      <w:r>
        <w:rPr>
          <w:sz w:val="26"/>
          <w:szCs w:val="26"/>
        </w:rPr>
        <w:t>FirstEnergy</w:t>
      </w:r>
      <w:r w:rsidR="00EB7ECA">
        <w:rPr>
          <w:sz w:val="26"/>
          <w:szCs w:val="26"/>
        </w:rPr>
        <w:t xml:space="preserve"> R.Exc. at 22-23.</w:t>
      </w:r>
    </w:p>
    <w:p w:rsidR="00EB7ECA" w:rsidRDefault="00EB7ECA" w:rsidP="00EB7ECA">
      <w:pPr>
        <w:spacing w:line="360" w:lineRule="auto"/>
        <w:ind w:firstLine="1440"/>
        <w:rPr>
          <w:sz w:val="26"/>
          <w:szCs w:val="26"/>
        </w:rPr>
      </w:pPr>
    </w:p>
    <w:p w:rsidR="008A3F38" w:rsidRDefault="008A3F38" w:rsidP="008A3F38">
      <w:pPr>
        <w:spacing w:line="360" w:lineRule="auto"/>
        <w:ind w:firstLine="1440"/>
        <w:rPr>
          <w:sz w:val="26"/>
          <w:szCs w:val="26"/>
        </w:rPr>
      </w:pPr>
      <w:r>
        <w:rPr>
          <w:sz w:val="26"/>
          <w:szCs w:val="26"/>
        </w:rPr>
        <w:t xml:space="preserve">No other Party addressed this aspect of the Initial Decision. </w:t>
      </w:r>
    </w:p>
    <w:p w:rsidR="008A3F38" w:rsidRDefault="008A3F38" w:rsidP="00EB7ECA">
      <w:pPr>
        <w:spacing w:line="360" w:lineRule="auto"/>
        <w:ind w:firstLine="1440"/>
        <w:rPr>
          <w:sz w:val="26"/>
          <w:szCs w:val="26"/>
        </w:rPr>
      </w:pPr>
    </w:p>
    <w:p w:rsidR="00903510" w:rsidRDefault="00903510" w:rsidP="00903510">
      <w:pPr>
        <w:pStyle w:val="Heading5"/>
      </w:pPr>
      <w:bookmarkStart w:id="139" w:name="_Toc263848898"/>
      <w:r>
        <w:t>iv.</w:t>
      </w:r>
      <w:r>
        <w:tab/>
        <w:t>Disposition</w:t>
      </w:r>
      <w:bookmarkEnd w:id="139"/>
    </w:p>
    <w:p w:rsidR="00E56F38" w:rsidRDefault="00E56F38" w:rsidP="00E56F38">
      <w:pPr>
        <w:spacing w:line="360" w:lineRule="auto"/>
        <w:ind w:firstLine="1440"/>
        <w:rPr>
          <w:sz w:val="26"/>
          <w:szCs w:val="26"/>
        </w:rPr>
      </w:pPr>
    </w:p>
    <w:p w:rsidR="00E56F38" w:rsidRDefault="00E56F38" w:rsidP="00E56F38">
      <w:pPr>
        <w:spacing w:line="360" w:lineRule="auto"/>
        <w:ind w:firstLine="1440"/>
        <w:rPr>
          <w:sz w:val="26"/>
          <w:szCs w:val="26"/>
        </w:rPr>
      </w:pPr>
      <w:r>
        <w:rPr>
          <w:sz w:val="26"/>
          <w:szCs w:val="26"/>
        </w:rPr>
        <w:t>On this issue</w:t>
      </w:r>
      <w:r w:rsidR="00A0570E">
        <w:rPr>
          <w:sz w:val="26"/>
          <w:szCs w:val="26"/>
        </w:rPr>
        <w:t>,</w:t>
      </w:r>
      <w:r>
        <w:rPr>
          <w:sz w:val="26"/>
          <w:szCs w:val="26"/>
        </w:rPr>
        <w:t xml:space="preserve"> we support the ALJ and the Companies.  The OCA’s approach presumes that higher usage customers will enjoy a greater benefit from the smart meter program.  OCA MB at 39.  We do not agree with this implicit assumption and there is no record evidence to support this claim.   We believe that</w:t>
      </w:r>
      <w:r w:rsidR="00A0570E">
        <w:rPr>
          <w:sz w:val="26"/>
          <w:szCs w:val="26"/>
        </w:rPr>
        <w:t>,</w:t>
      </w:r>
      <w:r>
        <w:rPr>
          <w:sz w:val="26"/>
          <w:szCs w:val="26"/>
        </w:rPr>
        <w:t xml:space="preserve"> to provide recovery of these costs through a monthly customer charge is consistent with our decision to allocate these same costs on a ‘per meter’ basis.  Additionally, as cost savings are realized by the Companies and reflected in the fixed monthly charge, the ratepayers will be able to see that specific change on their bills.  Such a reduction may not be as evident to customers if contained within a volumetric or usage rate.  </w:t>
      </w:r>
      <w:r w:rsidR="00A0570E">
        <w:rPr>
          <w:sz w:val="26"/>
          <w:szCs w:val="26"/>
        </w:rPr>
        <w:t>Accordingly, we shall deny the E</w:t>
      </w:r>
      <w:r>
        <w:rPr>
          <w:sz w:val="26"/>
          <w:szCs w:val="26"/>
        </w:rPr>
        <w:t>xception of the OCA and adopt the recommendation of the ALJ on this issue.</w:t>
      </w:r>
    </w:p>
    <w:p w:rsidR="00903510" w:rsidRDefault="00903510" w:rsidP="006C5448">
      <w:pPr>
        <w:spacing w:line="360" w:lineRule="auto"/>
        <w:ind w:firstLine="2160"/>
        <w:rPr>
          <w:sz w:val="26"/>
          <w:szCs w:val="26"/>
        </w:rPr>
      </w:pPr>
    </w:p>
    <w:p w:rsidR="006C5448" w:rsidRDefault="006C5448" w:rsidP="006C5448">
      <w:pPr>
        <w:pStyle w:val="Heading4"/>
      </w:pPr>
      <w:bookmarkStart w:id="140" w:name="_Toc259798251"/>
      <w:bookmarkStart w:id="141" w:name="_Toc263848899"/>
      <w:r>
        <w:lastRenderedPageBreak/>
        <w:t>b.</w:t>
      </w:r>
      <w:r>
        <w:tab/>
      </w:r>
      <w:r w:rsidR="00903510">
        <w:t>Commercial</w:t>
      </w:r>
      <w:bookmarkEnd w:id="140"/>
      <w:bookmarkEnd w:id="141"/>
      <w:r w:rsidR="00903510">
        <w:t xml:space="preserve"> </w:t>
      </w:r>
    </w:p>
    <w:p w:rsidR="00942F97" w:rsidRDefault="00942F97" w:rsidP="00E241CB">
      <w:pPr>
        <w:pStyle w:val="Heading5"/>
      </w:pPr>
    </w:p>
    <w:p w:rsidR="00E241CB" w:rsidRDefault="00E241CB" w:rsidP="00E241CB">
      <w:pPr>
        <w:pStyle w:val="Heading5"/>
      </w:pPr>
      <w:bookmarkStart w:id="142" w:name="_Toc263848900"/>
      <w:r>
        <w:t>i.</w:t>
      </w:r>
      <w:r>
        <w:tab/>
      </w:r>
      <w:r w:rsidR="00B55DC4">
        <w:t>FirstEnergy</w:t>
      </w:r>
      <w:r>
        <w:t>’s Plan</w:t>
      </w:r>
      <w:bookmarkEnd w:id="142"/>
    </w:p>
    <w:p w:rsidR="00E241CB" w:rsidRDefault="00E241CB" w:rsidP="00E241CB">
      <w:pPr>
        <w:spacing w:line="360" w:lineRule="auto"/>
        <w:ind w:firstLine="2880"/>
        <w:rPr>
          <w:sz w:val="26"/>
          <w:szCs w:val="26"/>
        </w:rPr>
      </w:pPr>
    </w:p>
    <w:p w:rsidR="00942F97" w:rsidRDefault="00023B41" w:rsidP="00942F97">
      <w:pPr>
        <w:spacing w:line="360" w:lineRule="auto"/>
        <w:ind w:firstLine="1440"/>
        <w:rPr>
          <w:sz w:val="26"/>
          <w:szCs w:val="26"/>
        </w:rPr>
      </w:pPr>
      <w:r>
        <w:rPr>
          <w:sz w:val="26"/>
          <w:szCs w:val="26"/>
        </w:rPr>
        <w:t xml:space="preserve">The Companies’ Plan proposed that </w:t>
      </w:r>
      <w:r w:rsidR="00B55DC4">
        <w:rPr>
          <w:sz w:val="26"/>
          <w:szCs w:val="26"/>
        </w:rPr>
        <w:t>Smart Meter Plan</w:t>
      </w:r>
      <w:r>
        <w:rPr>
          <w:sz w:val="26"/>
          <w:szCs w:val="26"/>
        </w:rPr>
        <w:t xml:space="preserve"> costs assigned to each class be recovered using a fixed customer charge.  </w:t>
      </w:r>
    </w:p>
    <w:p w:rsidR="00942F97" w:rsidRDefault="00942F97" w:rsidP="00E241CB">
      <w:pPr>
        <w:spacing w:line="360" w:lineRule="auto"/>
        <w:ind w:firstLine="2880"/>
        <w:rPr>
          <w:sz w:val="26"/>
          <w:szCs w:val="26"/>
        </w:rPr>
      </w:pPr>
    </w:p>
    <w:p w:rsidR="00E241CB" w:rsidRDefault="00E241CB" w:rsidP="00E241CB">
      <w:pPr>
        <w:pStyle w:val="Heading5"/>
      </w:pPr>
      <w:bookmarkStart w:id="143" w:name="_Toc263848901"/>
      <w:r>
        <w:t>ii.</w:t>
      </w:r>
      <w:r>
        <w:tab/>
        <w:t>ALJ’s Recommendation</w:t>
      </w:r>
      <w:bookmarkEnd w:id="143"/>
    </w:p>
    <w:p w:rsidR="00E241CB" w:rsidRDefault="00E241CB" w:rsidP="00E241CB">
      <w:pPr>
        <w:spacing w:line="360" w:lineRule="auto"/>
        <w:ind w:firstLine="2160"/>
        <w:rPr>
          <w:sz w:val="26"/>
          <w:szCs w:val="26"/>
        </w:rPr>
      </w:pPr>
    </w:p>
    <w:p w:rsidR="00605CA4" w:rsidRDefault="00605CA4" w:rsidP="00605CA4">
      <w:pPr>
        <w:spacing w:line="360" w:lineRule="auto"/>
        <w:ind w:firstLine="1440"/>
        <w:rPr>
          <w:sz w:val="26"/>
          <w:szCs w:val="26"/>
        </w:rPr>
      </w:pPr>
      <w:r>
        <w:rPr>
          <w:sz w:val="26"/>
          <w:szCs w:val="26"/>
        </w:rPr>
        <w:t xml:space="preserve">The ALJ approved </w:t>
      </w:r>
      <w:r w:rsidR="00B55DC4">
        <w:rPr>
          <w:sz w:val="26"/>
          <w:szCs w:val="26"/>
        </w:rPr>
        <w:t>FirstEnergy</w:t>
      </w:r>
      <w:r>
        <w:rPr>
          <w:sz w:val="26"/>
          <w:szCs w:val="26"/>
        </w:rPr>
        <w:t>’s proposal without discussion.</w:t>
      </w:r>
    </w:p>
    <w:p w:rsidR="00605CA4" w:rsidRDefault="00605CA4" w:rsidP="00E241CB">
      <w:pPr>
        <w:spacing w:line="360" w:lineRule="auto"/>
        <w:ind w:firstLine="2160"/>
        <w:rPr>
          <w:sz w:val="26"/>
          <w:szCs w:val="26"/>
        </w:rPr>
      </w:pPr>
    </w:p>
    <w:p w:rsidR="00E241CB" w:rsidRDefault="00E241CB" w:rsidP="00E241CB">
      <w:pPr>
        <w:pStyle w:val="Heading5"/>
      </w:pPr>
      <w:bookmarkStart w:id="144" w:name="_Toc263848902"/>
      <w:r>
        <w:t>iii.</w:t>
      </w:r>
      <w:r>
        <w:tab/>
        <w:t>Positions of the Parties</w:t>
      </w:r>
      <w:bookmarkEnd w:id="144"/>
    </w:p>
    <w:p w:rsidR="00E241CB" w:rsidRDefault="00E241CB" w:rsidP="00E241CB">
      <w:pPr>
        <w:spacing w:line="360" w:lineRule="auto"/>
        <w:ind w:firstLine="2160"/>
        <w:rPr>
          <w:sz w:val="26"/>
          <w:szCs w:val="26"/>
        </w:rPr>
      </w:pPr>
    </w:p>
    <w:p w:rsidR="00023B41" w:rsidRDefault="003F42D0" w:rsidP="00023B41">
      <w:pPr>
        <w:spacing w:line="360" w:lineRule="auto"/>
        <w:ind w:firstLine="1440"/>
        <w:rPr>
          <w:sz w:val="26"/>
          <w:szCs w:val="26"/>
        </w:rPr>
      </w:pPr>
      <w:r>
        <w:rPr>
          <w:sz w:val="26"/>
          <w:szCs w:val="26"/>
        </w:rPr>
        <w:t>The OSBA supports the Compan</w:t>
      </w:r>
      <w:r w:rsidR="00864C1B">
        <w:rPr>
          <w:sz w:val="26"/>
          <w:szCs w:val="26"/>
        </w:rPr>
        <w:t xml:space="preserve">ies’ proposal to recover costs from the Commercial class using a fixed customer charge.  </w:t>
      </w:r>
      <w:r w:rsidR="00023B41">
        <w:rPr>
          <w:sz w:val="26"/>
          <w:szCs w:val="26"/>
        </w:rPr>
        <w:t>If</w:t>
      </w:r>
      <w:r w:rsidR="00864C1B">
        <w:rPr>
          <w:sz w:val="26"/>
          <w:szCs w:val="26"/>
        </w:rPr>
        <w:t>, however,</w:t>
      </w:r>
      <w:r w:rsidR="00023B41">
        <w:rPr>
          <w:sz w:val="26"/>
          <w:szCs w:val="26"/>
        </w:rPr>
        <w:t xml:space="preserve"> the Commission agrees with the OCA</w:t>
      </w:r>
      <w:r w:rsidR="00864C1B">
        <w:rPr>
          <w:sz w:val="26"/>
          <w:szCs w:val="26"/>
        </w:rPr>
        <w:t xml:space="preserve"> that</w:t>
      </w:r>
      <w:r w:rsidR="00023B41">
        <w:rPr>
          <w:sz w:val="26"/>
          <w:szCs w:val="26"/>
        </w:rPr>
        <w:t xml:space="preserve"> common costs</w:t>
      </w:r>
      <w:r w:rsidR="00864C1B">
        <w:rPr>
          <w:sz w:val="26"/>
          <w:szCs w:val="26"/>
        </w:rPr>
        <w:t xml:space="preserve"> should be allocated based </w:t>
      </w:r>
      <w:r w:rsidR="00EF3387">
        <w:rPr>
          <w:sz w:val="26"/>
          <w:szCs w:val="26"/>
        </w:rPr>
        <w:t>on energy consumption</w:t>
      </w:r>
      <w:r w:rsidR="00023B41">
        <w:rPr>
          <w:sz w:val="26"/>
          <w:szCs w:val="26"/>
        </w:rPr>
        <w:t xml:space="preserve">, the </w:t>
      </w:r>
      <w:r>
        <w:rPr>
          <w:sz w:val="26"/>
          <w:szCs w:val="26"/>
        </w:rPr>
        <w:t xml:space="preserve">OSBA </w:t>
      </w:r>
      <w:r w:rsidR="00CB48D8">
        <w:rPr>
          <w:sz w:val="26"/>
          <w:szCs w:val="26"/>
        </w:rPr>
        <w:t xml:space="preserve">argues that consistency dictates that </w:t>
      </w:r>
      <w:r w:rsidR="00EF3387">
        <w:rPr>
          <w:sz w:val="26"/>
          <w:szCs w:val="26"/>
        </w:rPr>
        <w:t xml:space="preserve">the costs of meters </w:t>
      </w:r>
      <w:r w:rsidR="00CB48D8">
        <w:rPr>
          <w:sz w:val="26"/>
          <w:szCs w:val="26"/>
        </w:rPr>
        <w:t xml:space="preserve">should be </w:t>
      </w:r>
      <w:r w:rsidR="00B509A2">
        <w:rPr>
          <w:sz w:val="26"/>
          <w:szCs w:val="26"/>
        </w:rPr>
        <w:t xml:space="preserve">recovered within the Commercial class using a customer charge, but common costs </w:t>
      </w:r>
      <w:r w:rsidR="00CB48D8">
        <w:rPr>
          <w:sz w:val="26"/>
          <w:szCs w:val="26"/>
        </w:rPr>
        <w:t xml:space="preserve">should be </w:t>
      </w:r>
      <w:r w:rsidR="00B509A2">
        <w:rPr>
          <w:sz w:val="26"/>
          <w:szCs w:val="26"/>
        </w:rPr>
        <w:t>recov</w:t>
      </w:r>
      <w:r w:rsidR="00A0570E">
        <w:rPr>
          <w:sz w:val="26"/>
          <w:szCs w:val="26"/>
        </w:rPr>
        <w:t xml:space="preserve">ered within the Commercial </w:t>
      </w:r>
      <w:r w:rsidR="00B509A2">
        <w:rPr>
          <w:sz w:val="26"/>
          <w:szCs w:val="26"/>
        </w:rPr>
        <w:t>class via a per kWh charge.  OSBA R.Exc. at 12-13.</w:t>
      </w:r>
    </w:p>
    <w:p w:rsidR="002F4774" w:rsidRDefault="002F4774" w:rsidP="00023B41">
      <w:pPr>
        <w:spacing w:line="360" w:lineRule="auto"/>
        <w:ind w:firstLine="1440"/>
        <w:rPr>
          <w:sz w:val="26"/>
          <w:szCs w:val="26"/>
        </w:rPr>
      </w:pPr>
    </w:p>
    <w:p w:rsidR="002F4774" w:rsidRDefault="002F4774" w:rsidP="002F4774">
      <w:pPr>
        <w:spacing w:line="360" w:lineRule="auto"/>
        <w:ind w:firstLine="1440"/>
        <w:rPr>
          <w:sz w:val="26"/>
          <w:szCs w:val="26"/>
        </w:rPr>
      </w:pPr>
      <w:r>
        <w:rPr>
          <w:sz w:val="26"/>
          <w:szCs w:val="26"/>
        </w:rPr>
        <w:t xml:space="preserve">No other Party addressed this aspect of the Initial Decision. </w:t>
      </w:r>
    </w:p>
    <w:p w:rsidR="00023B41" w:rsidRDefault="00023B41" w:rsidP="00E241CB">
      <w:pPr>
        <w:spacing w:line="360" w:lineRule="auto"/>
        <w:ind w:firstLine="2160"/>
        <w:rPr>
          <w:sz w:val="26"/>
          <w:szCs w:val="26"/>
        </w:rPr>
      </w:pPr>
    </w:p>
    <w:p w:rsidR="00E241CB" w:rsidRDefault="00E241CB" w:rsidP="00E241CB">
      <w:pPr>
        <w:pStyle w:val="Heading5"/>
      </w:pPr>
      <w:bookmarkStart w:id="145" w:name="_Toc263848903"/>
      <w:r>
        <w:t>iv.</w:t>
      </w:r>
      <w:r>
        <w:tab/>
        <w:t>Disposition</w:t>
      </w:r>
      <w:bookmarkEnd w:id="145"/>
    </w:p>
    <w:p w:rsidR="006C5448" w:rsidRDefault="006C5448" w:rsidP="006C5448">
      <w:pPr>
        <w:spacing w:line="360" w:lineRule="auto"/>
        <w:ind w:firstLine="2160"/>
        <w:rPr>
          <w:sz w:val="26"/>
          <w:szCs w:val="26"/>
        </w:rPr>
      </w:pPr>
    </w:p>
    <w:p w:rsidR="00E56F38" w:rsidRDefault="00A0570E" w:rsidP="00E56F38">
      <w:pPr>
        <w:spacing w:line="360" w:lineRule="auto"/>
        <w:ind w:firstLine="1440"/>
        <w:rPr>
          <w:sz w:val="26"/>
          <w:szCs w:val="26"/>
        </w:rPr>
      </w:pPr>
      <w:r>
        <w:rPr>
          <w:sz w:val="26"/>
          <w:szCs w:val="26"/>
        </w:rPr>
        <w:t xml:space="preserve">Based on our decision regarding the allocation of common costs, we find this Exception is moot.  </w:t>
      </w:r>
    </w:p>
    <w:p w:rsidR="008F606B" w:rsidRPr="008F606B" w:rsidRDefault="008F606B" w:rsidP="00823A00">
      <w:pPr>
        <w:pStyle w:val="Heading2"/>
      </w:pPr>
    </w:p>
    <w:p w:rsidR="003B6E03" w:rsidRDefault="003B6E03">
      <w:pPr>
        <w:spacing w:after="200" w:line="276" w:lineRule="auto"/>
        <w:rPr>
          <w:rFonts w:eastAsiaTheme="majorEastAsia" w:cstheme="majorBidi"/>
          <w:b/>
          <w:bCs/>
          <w:sz w:val="26"/>
          <w:szCs w:val="28"/>
        </w:rPr>
      </w:pPr>
      <w:bookmarkStart w:id="146" w:name="_Toc259798252"/>
      <w:r>
        <w:br w:type="page"/>
      </w:r>
    </w:p>
    <w:p w:rsidR="009A077C" w:rsidRPr="00352094" w:rsidRDefault="006F4B78" w:rsidP="00940B59">
      <w:pPr>
        <w:pStyle w:val="Heading1"/>
      </w:pPr>
      <w:bookmarkStart w:id="147" w:name="_Toc263848904"/>
      <w:r>
        <w:lastRenderedPageBreak/>
        <w:t>V</w:t>
      </w:r>
      <w:r w:rsidR="00D823BC">
        <w:t>I</w:t>
      </w:r>
      <w:r w:rsidR="00B6382E">
        <w:t xml:space="preserve">.  </w:t>
      </w:r>
      <w:r>
        <w:tab/>
      </w:r>
      <w:r w:rsidR="009A077C" w:rsidRPr="00352094">
        <w:t>Conclusion</w:t>
      </w:r>
      <w:bookmarkEnd w:id="133"/>
      <w:bookmarkEnd w:id="146"/>
      <w:bookmarkEnd w:id="147"/>
    </w:p>
    <w:p w:rsidR="009A077C" w:rsidRDefault="009A077C" w:rsidP="009A077C">
      <w:pPr>
        <w:spacing w:line="360" w:lineRule="auto"/>
        <w:rPr>
          <w:sz w:val="26"/>
          <w:szCs w:val="26"/>
        </w:rPr>
      </w:pPr>
    </w:p>
    <w:p w:rsidR="00D47468" w:rsidRDefault="00890C15" w:rsidP="007A47D5">
      <w:pPr>
        <w:spacing w:line="360" w:lineRule="auto"/>
        <w:ind w:firstLine="1440"/>
        <w:rPr>
          <w:b/>
          <w:sz w:val="26"/>
        </w:rPr>
      </w:pPr>
      <w:r>
        <w:rPr>
          <w:sz w:val="26"/>
          <w:szCs w:val="26"/>
        </w:rPr>
        <w:t xml:space="preserve">For the reasons set forth above, we </w:t>
      </w:r>
      <w:r w:rsidR="00326139">
        <w:rPr>
          <w:sz w:val="26"/>
          <w:szCs w:val="26"/>
        </w:rPr>
        <w:t>will grant</w:t>
      </w:r>
      <w:r>
        <w:rPr>
          <w:sz w:val="26"/>
          <w:szCs w:val="26"/>
        </w:rPr>
        <w:t xml:space="preserve"> the Joint Petition of Metropolitan Edison Company, Pennsylvania Electric Company and Pennsylvania Power Company for Approval of Smart Meter Technology Procurement and Installation Plan</w:t>
      </w:r>
      <w:r w:rsidR="00326139">
        <w:rPr>
          <w:sz w:val="26"/>
          <w:szCs w:val="26"/>
        </w:rPr>
        <w:t>,</w:t>
      </w:r>
      <w:r w:rsidR="007905B2">
        <w:rPr>
          <w:sz w:val="26"/>
          <w:szCs w:val="26"/>
        </w:rPr>
        <w:t xml:space="preserve"> consistent with this Opinion and Order.  The Companies are permitted to implement their Plans, as modified herein</w:t>
      </w:r>
      <w:r w:rsidR="005B4E26">
        <w:rPr>
          <w:sz w:val="26"/>
          <w:szCs w:val="26"/>
        </w:rPr>
        <w:t xml:space="preserve">.  Metropolitan Edison Company, Pennsylvania Electric Company and Pennsylvania Power Company shall each file with the Commission, for its approval, </w:t>
      </w:r>
      <w:r w:rsidR="005B4E26" w:rsidRPr="004D5F55">
        <w:rPr>
          <w:sz w:val="26"/>
          <w:szCs w:val="26"/>
        </w:rPr>
        <w:t xml:space="preserve">a </w:t>
      </w:r>
      <w:r w:rsidR="005B4E26">
        <w:rPr>
          <w:sz w:val="26"/>
          <w:szCs w:val="26"/>
        </w:rPr>
        <w:t xml:space="preserve">tariff supplement containing a revised </w:t>
      </w:r>
      <w:r w:rsidR="005B4E26" w:rsidRPr="004D5F55">
        <w:rPr>
          <w:sz w:val="26"/>
          <w:szCs w:val="26"/>
        </w:rPr>
        <w:t>Smart Meter Technologies Charge Rider</w:t>
      </w:r>
      <w:r w:rsidR="00702DBA">
        <w:rPr>
          <w:sz w:val="26"/>
          <w:szCs w:val="26"/>
        </w:rPr>
        <w:t xml:space="preserve"> that</w:t>
      </w:r>
      <w:r w:rsidR="005B4E26">
        <w:rPr>
          <w:sz w:val="26"/>
          <w:szCs w:val="26"/>
        </w:rPr>
        <w:t xml:space="preserve"> is consistent with this Opinion and Order</w:t>
      </w:r>
      <w:r w:rsidR="009950A2">
        <w:rPr>
          <w:sz w:val="26"/>
          <w:szCs w:val="26"/>
        </w:rPr>
        <w:t>.  Copies shall be served on all Parties to this proceeding</w:t>
      </w:r>
      <w:r w:rsidR="007D459E">
        <w:rPr>
          <w:sz w:val="26"/>
          <w:szCs w:val="26"/>
        </w:rPr>
        <w:t xml:space="preserve">.  </w:t>
      </w:r>
      <w:r w:rsidR="00702DBA">
        <w:rPr>
          <w:sz w:val="26"/>
          <w:szCs w:val="26"/>
        </w:rPr>
        <w:t xml:space="preserve">No Company </w:t>
      </w:r>
      <w:r w:rsidR="007D459E">
        <w:rPr>
          <w:sz w:val="26"/>
          <w:szCs w:val="26"/>
        </w:rPr>
        <w:t xml:space="preserve">shall begin collecting rates pursuant to </w:t>
      </w:r>
      <w:r w:rsidR="00702DBA">
        <w:rPr>
          <w:sz w:val="26"/>
          <w:szCs w:val="26"/>
        </w:rPr>
        <w:t xml:space="preserve">its </w:t>
      </w:r>
      <w:r w:rsidR="00E146FD">
        <w:rPr>
          <w:sz w:val="26"/>
          <w:szCs w:val="26"/>
        </w:rPr>
        <w:t>tariff</w:t>
      </w:r>
      <w:r w:rsidR="007D459E">
        <w:rPr>
          <w:sz w:val="26"/>
          <w:szCs w:val="26"/>
        </w:rPr>
        <w:t xml:space="preserve"> until </w:t>
      </w:r>
      <w:r w:rsidR="00E146FD">
        <w:rPr>
          <w:sz w:val="26"/>
          <w:szCs w:val="26"/>
        </w:rPr>
        <w:t>it is</w:t>
      </w:r>
      <w:r w:rsidR="007D459E">
        <w:rPr>
          <w:sz w:val="26"/>
          <w:szCs w:val="26"/>
        </w:rPr>
        <w:t xml:space="preserve"> approved by this Commission</w:t>
      </w:r>
      <w:r w:rsidR="007A47D5">
        <w:rPr>
          <w:sz w:val="26"/>
          <w:szCs w:val="26"/>
        </w:rPr>
        <w:t xml:space="preserve">; </w:t>
      </w:r>
      <w:r w:rsidR="00920080">
        <w:rPr>
          <w:b/>
          <w:sz w:val="26"/>
        </w:rPr>
        <w:t>TH</w:t>
      </w:r>
      <w:r w:rsidR="009F398E" w:rsidRPr="003C63B1">
        <w:rPr>
          <w:b/>
          <w:sz w:val="26"/>
        </w:rPr>
        <w:t xml:space="preserve">EREFORE; </w:t>
      </w:r>
    </w:p>
    <w:p w:rsidR="00D47468" w:rsidRDefault="00D47468" w:rsidP="009F398E">
      <w:pPr>
        <w:spacing w:line="360" w:lineRule="auto"/>
        <w:rPr>
          <w:b/>
          <w:sz w:val="26"/>
        </w:rPr>
      </w:pPr>
    </w:p>
    <w:p w:rsidR="009F398E" w:rsidRDefault="009F398E" w:rsidP="005B4E26">
      <w:pPr>
        <w:spacing w:line="360" w:lineRule="auto"/>
        <w:ind w:firstLine="1440"/>
        <w:rPr>
          <w:b/>
          <w:sz w:val="26"/>
        </w:rPr>
      </w:pPr>
      <w:r w:rsidRPr="003C63B1">
        <w:rPr>
          <w:b/>
          <w:sz w:val="26"/>
        </w:rPr>
        <w:t>IT IS ORDERED:</w:t>
      </w:r>
    </w:p>
    <w:p w:rsidR="003A1D4E" w:rsidRDefault="003A1D4E" w:rsidP="009F398E">
      <w:pPr>
        <w:spacing w:line="360" w:lineRule="auto"/>
        <w:rPr>
          <w:sz w:val="26"/>
        </w:rPr>
      </w:pPr>
    </w:p>
    <w:p w:rsidR="006E17BC" w:rsidRDefault="006E17BC" w:rsidP="006E17BC">
      <w:pPr>
        <w:spacing w:line="360" w:lineRule="auto"/>
        <w:ind w:firstLine="1440"/>
        <w:rPr>
          <w:sz w:val="26"/>
          <w:szCs w:val="26"/>
        </w:rPr>
      </w:pPr>
      <w:r>
        <w:rPr>
          <w:sz w:val="26"/>
          <w:szCs w:val="26"/>
        </w:rPr>
        <w:t>1.</w:t>
      </w:r>
      <w:r>
        <w:rPr>
          <w:sz w:val="26"/>
          <w:szCs w:val="26"/>
        </w:rPr>
        <w:tab/>
        <w:t>That the Initial Decision issued by Administrative Law Judge Susan D. Colwell on January 28, 2010, is adopted as modified</w:t>
      </w:r>
      <w:r w:rsidR="002B2FB5">
        <w:rPr>
          <w:sz w:val="26"/>
          <w:szCs w:val="26"/>
        </w:rPr>
        <w:t xml:space="preserve">, consistent with </w:t>
      </w:r>
      <w:r>
        <w:rPr>
          <w:sz w:val="26"/>
          <w:szCs w:val="26"/>
        </w:rPr>
        <w:t>this Opinion and Order.</w:t>
      </w:r>
    </w:p>
    <w:p w:rsidR="006E17BC" w:rsidRDefault="006E17BC" w:rsidP="00890C15">
      <w:pPr>
        <w:spacing w:line="360" w:lineRule="auto"/>
        <w:ind w:firstLine="1440"/>
        <w:rPr>
          <w:sz w:val="26"/>
        </w:rPr>
      </w:pPr>
    </w:p>
    <w:p w:rsidR="00890C15" w:rsidRDefault="006E17BC" w:rsidP="00890C15">
      <w:pPr>
        <w:spacing w:line="360" w:lineRule="auto"/>
        <w:ind w:firstLine="1440"/>
        <w:rPr>
          <w:sz w:val="26"/>
          <w:szCs w:val="26"/>
        </w:rPr>
      </w:pPr>
      <w:r>
        <w:rPr>
          <w:sz w:val="26"/>
        </w:rPr>
        <w:t>2</w:t>
      </w:r>
      <w:r w:rsidR="00890C15">
        <w:rPr>
          <w:sz w:val="26"/>
        </w:rPr>
        <w:t>.</w:t>
      </w:r>
      <w:r w:rsidR="00890C15">
        <w:rPr>
          <w:sz w:val="26"/>
        </w:rPr>
        <w:tab/>
        <w:t>Th</w:t>
      </w:r>
      <w:r w:rsidR="004B61A2">
        <w:rPr>
          <w:sz w:val="26"/>
        </w:rPr>
        <w:t>at th</w:t>
      </w:r>
      <w:r w:rsidR="00890C15">
        <w:rPr>
          <w:sz w:val="26"/>
        </w:rPr>
        <w:t xml:space="preserve">e </w:t>
      </w:r>
      <w:r w:rsidR="00890C15">
        <w:rPr>
          <w:sz w:val="26"/>
          <w:szCs w:val="26"/>
        </w:rPr>
        <w:t xml:space="preserve">Joint Petition of Metropolitan Edison Company, Pennsylvania Electric Company and Pennsylvania Power Company for Approval of Smart Meter Technology Procurement and Installation Plan is </w:t>
      </w:r>
      <w:r w:rsidR="009858B6">
        <w:rPr>
          <w:sz w:val="26"/>
          <w:szCs w:val="26"/>
        </w:rPr>
        <w:t>granted, consistent with this Opinion and Order</w:t>
      </w:r>
      <w:r w:rsidR="00890C15">
        <w:rPr>
          <w:sz w:val="26"/>
          <w:szCs w:val="26"/>
        </w:rPr>
        <w:t>.</w:t>
      </w:r>
    </w:p>
    <w:p w:rsidR="00890C15" w:rsidRDefault="00890C15" w:rsidP="00890C15">
      <w:pPr>
        <w:spacing w:line="360" w:lineRule="auto"/>
        <w:ind w:firstLine="1440"/>
        <w:rPr>
          <w:sz w:val="26"/>
          <w:szCs w:val="26"/>
        </w:rPr>
      </w:pPr>
    </w:p>
    <w:p w:rsidR="00890C15" w:rsidRDefault="006E17BC" w:rsidP="00890C15">
      <w:pPr>
        <w:spacing w:line="360" w:lineRule="auto"/>
        <w:ind w:firstLine="1440"/>
        <w:rPr>
          <w:sz w:val="26"/>
          <w:szCs w:val="26"/>
        </w:rPr>
      </w:pPr>
      <w:r>
        <w:rPr>
          <w:sz w:val="26"/>
          <w:szCs w:val="26"/>
        </w:rPr>
        <w:t>3</w:t>
      </w:r>
      <w:r w:rsidR="00890C15">
        <w:rPr>
          <w:sz w:val="26"/>
          <w:szCs w:val="26"/>
        </w:rPr>
        <w:t>.</w:t>
      </w:r>
      <w:r w:rsidR="00890C15">
        <w:rPr>
          <w:sz w:val="26"/>
          <w:szCs w:val="26"/>
        </w:rPr>
        <w:tab/>
        <w:t>Th</w:t>
      </w:r>
      <w:r w:rsidR="004B61A2">
        <w:rPr>
          <w:sz w:val="26"/>
          <w:szCs w:val="26"/>
        </w:rPr>
        <w:t>at th</w:t>
      </w:r>
      <w:r w:rsidR="00890C15">
        <w:rPr>
          <w:sz w:val="26"/>
          <w:szCs w:val="26"/>
        </w:rPr>
        <w:t>e Smart Meter Technology Procurement and Installation Plan filed by Metropolitan Edison Company, Pennsylvania Electric Company and Pennsylvania Power Company on August 14, 2009</w:t>
      </w:r>
      <w:r w:rsidR="009858B6">
        <w:rPr>
          <w:sz w:val="26"/>
          <w:szCs w:val="26"/>
        </w:rPr>
        <w:t>, is approved, as modified by this Opinion and Order</w:t>
      </w:r>
      <w:r w:rsidR="00890C15">
        <w:rPr>
          <w:sz w:val="26"/>
          <w:szCs w:val="26"/>
        </w:rPr>
        <w:t>.</w:t>
      </w:r>
    </w:p>
    <w:p w:rsidR="004B61A2" w:rsidRDefault="004B61A2" w:rsidP="00890C15">
      <w:pPr>
        <w:spacing w:line="360" w:lineRule="auto"/>
        <w:ind w:firstLine="1440"/>
        <w:rPr>
          <w:sz w:val="26"/>
          <w:szCs w:val="26"/>
        </w:rPr>
      </w:pPr>
    </w:p>
    <w:p w:rsidR="004B61A2" w:rsidRDefault="006E17BC" w:rsidP="00890C15">
      <w:pPr>
        <w:spacing w:line="360" w:lineRule="auto"/>
        <w:ind w:firstLine="1440"/>
        <w:rPr>
          <w:sz w:val="26"/>
          <w:szCs w:val="26"/>
        </w:rPr>
      </w:pPr>
      <w:r>
        <w:rPr>
          <w:sz w:val="26"/>
          <w:szCs w:val="26"/>
        </w:rPr>
        <w:lastRenderedPageBreak/>
        <w:t>4</w:t>
      </w:r>
      <w:r w:rsidR="004B61A2">
        <w:rPr>
          <w:sz w:val="26"/>
          <w:szCs w:val="26"/>
        </w:rPr>
        <w:t>.</w:t>
      </w:r>
      <w:r w:rsidR="004B61A2">
        <w:rPr>
          <w:sz w:val="26"/>
          <w:szCs w:val="26"/>
        </w:rPr>
        <w:tab/>
        <w:t xml:space="preserve">That Metropolitan Edison Company, Pennsylvania Electric Company and Pennsylvania Power Company are permitted to implement the Smart Meter Technology Procurement and Installation Plan, </w:t>
      </w:r>
      <w:r w:rsidR="00D160A6">
        <w:rPr>
          <w:sz w:val="26"/>
          <w:szCs w:val="26"/>
        </w:rPr>
        <w:t>as modified by this Opinion and Order.</w:t>
      </w:r>
    </w:p>
    <w:p w:rsidR="00D160A6" w:rsidRDefault="00D160A6" w:rsidP="00890C15">
      <w:pPr>
        <w:spacing w:line="360" w:lineRule="auto"/>
        <w:ind w:firstLine="1440"/>
        <w:rPr>
          <w:sz w:val="26"/>
          <w:szCs w:val="26"/>
        </w:rPr>
      </w:pPr>
    </w:p>
    <w:p w:rsidR="00D160A6" w:rsidRDefault="006E17BC" w:rsidP="00890C15">
      <w:pPr>
        <w:spacing w:line="360" w:lineRule="auto"/>
        <w:ind w:firstLine="1440"/>
        <w:rPr>
          <w:sz w:val="26"/>
          <w:szCs w:val="26"/>
        </w:rPr>
      </w:pPr>
      <w:r>
        <w:rPr>
          <w:sz w:val="26"/>
          <w:szCs w:val="26"/>
        </w:rPr>
        <w:t>5</w:t>
      </w:r>
      <w:r w:rsidR="00D160A6" w:rsidRPr="004D5F55">
        <w:rPr>
          <w:sz w:val="26"/>
          <w:szCs w:val="26"/>
        </w:rPr>
        <w:t>.</w:t>
      </w:r>
      <w:r w:rsidR="00D160A6" w:rsidRPr="004D5F55">
        <w:rPr>
          <w:sz w:val="26"/>
          <w:szCs w:val="26"/>
        </w:rPr>
        <w:tab/>
        <w:t>That</w:t>
      </w:r>
      <w:r w:rsidR="00417C4F">
        <w:rPr>
          <w:sz w:val="26"/>
          <w:szCs w:val="26"/>
        </w:rPr>
        <w:t xml:space="preserve"> upon entry of this Opinion and Order, </w:t>
      </w:r>
      <w:r w:rsidR="00D160A6" w:rsidRPr="004D5F55">
        <w:rPr>
          <w:sz w:val="26"/>
          <w:szCs w:val="26"/>
        </w:rPr>
        <w:t>Metropolitan Edison Company</w:t>
      </w:r>
      <w:r w:rsidR="00E90334">
        <w:rPr>
          <w:sz w:val="26"/>
          <w:szCs w:val="26"/>
        </w:rPr>
        <w:t xml:space="preserve"> </w:t>
      </w:r>
      <w:r w:rsidR="00417C4F">
        <w:rPr>
          <w:sz w:val="26"/>
          <w:szCs w:val="26"/>
        </w:rPr>
        <w:t xml:space="preserve">is permitted to file </w:t>
      </w:r>
      <w:r w:rsidR="00E146FD">
        <w:rPr>
          <w:sz w:val="26"/>
          <w:szCs w:val="26"/>
        </w:rPr>
        <w:t xml:space="preserve">a tariff or tariff supplement </w:t>
      </w:r>
      <w:r w:rsidR="00417C4F">
        <w:rPr>
          <w:sz w:val="26"/>
          <w:szCs w:val="26"/>
        </w:rPr>
        <w:t>to implement a</w:t>
      </w:r>
      <w:r w:rsidR="00E90334">
        <w:rPr>
          <w:sz w:val="26"/>
          <w:szCs w:val="26"/>
        </w:rPr>
        <w:t xml:space="preserve"> </w:t>
      </w:r>
      <w:r w:rsidR="00D640A0" w:rsidRPr="004D5F55">
        <w:rPr>
          <w:sz w:val="26"/>
          <w:szCs w:val="26"/>
        </w:rPr>
        <w:t>Smart Meter Technologies Charge Rider</w:t>
      </w:r>
      <w:r w:rsidR="00417C4F">
        <w:rPr>
          <w:sz w:val="26"/>
          <w:szCs w:val="26"/>
        </w:rPr>
        <w:t xml:space="preserve">, </w:t>
      </w:r>
      <w:r w:rsidR="00E90334">
        <w:rPr>
          <w:sz w:val="26"/>
          <w:szCs w:val="26"/>
        </w:rPr>
        <w:t xml:space="preserve">consistent with this Opinion and Order.  </w:t>
      </w:r>
      <w:r w:rsidR="00417C4F">
        <w:rPr>
          <w:sz w:val="26"/>
          <w:szCs w:val="26"/>
        </w:rPr>
        <w:t xml:space="preserve">Metropolitan Edison Company shall also file supporting documentation reflecting the calculation of these charges.  </w:t>
      </w:r>
      <w:r w:rsidR="00E90334">
        <w:rPr>
          <w:sz w:val="26"/>
          <w:szCs w:val="26"/>
        </w:rPr>
        <w:t xml:space="preserve">Copies shall be </w:t>
      </w:r>
      <w:r w:rsidR="00D640A0" w:rsidRPr="004D5F55">
        <w:rPr>
          <w:sz w:val="26"/>
          <w:szCs w:val="26"/>
        </w:rPr>
        <w:t>serve</w:t>
      </w:r>
      <w:r w:rsidR="00E90334">
        <w:rPr>
          <w:sz w:val="26"/>
          <w:szCs w:val="26"/>
        </w:rPr>
        <w:t>d</w:t>
      </w:r>
      <w:r w:rsidR="00D640A0" w:rsidRPr="004D5F55">
        <w:rPr>
          <w:sz w:val="26"/>
          <w:szCs w:val="26"/>
        </w:rPr>
        <w:t xml:space="preserve"> on all Parties to this p</w:t>
      </w:r>
      <w:r w:rsidR="00E90334">
        <w:rPr>
          <w:sz w:val="26"/>
          <w:szCs w:val="26"/>
        </w:rPr>
        <w:t>roceeding</w:t>
      </w:r>
      <w:r w:rsidR="00D640A0" w:rsidRPr="004D5F55">
        <w:rPr>
          <w:sz w:val="26"/>
          <w:szCs w:val="26"/>
        </w:rPr>
        <w:t xml:space="preserve">.  </w:t>
      </w:r>
    </w:p>
    <w:p w:rsidR="00417C4F" w:rsidRDefault="00417C4F" w:rsidP="00890C15">
      <w:pPr>
        <w:spacing w:line="360" w:lineRule="auto"/>
        <w:ind w:firstLine="1440"/>
        <w:rPr>
          <w:sz w:val="26"/>
          <w:szCs w:val="26"/>
        </w:rPr>
      </w:pPr>
    </w:p>
    <w:p w:rsidR="008438A5" w:rsidRDefault="006E17BC" w:rsidP="00890C15">
      <w:pPr>
        <w:spacing w:line="360" w:lineRule="auto"/>
        <w:ind w:firstLine="1440"/>
        <w:rPr>
          <w:sz w:val="26"/>
          <w:szCs w:val="26"/>
        </w:rPr>
      </w:pPr>
      <w:r>
        <w:rPr>
          <w:sz w:val="26"/>
          <w:szCs w:val="26"/>
        </w:rPr>
        <w:t>6</w:t>
      </w:r>
      <w:r w:rsidR="008438A5">
        <w:rPr>
          <w:sz w:val="26"/>
          <w:szCs w:val="26"/>
        </w:rPr>
        <w:t>.</w:t>
      </w:r>
      <w:r w:rsidR="008438A5">
        <w:rPr>
          <w:sz w:val="26"/>
          <w:szCs w:val="26"/>
        </w:rPr>
        <w:tab/>
        <w:t xml:space="preserve">That </w:t>
      </w:r>
      <w:r w:rsidR="008438A5" w:rsidRPr="004D5F55">
        <w:rPr>
          <w:sz w:val="26"/>
          <w:szCs w:val="26"/>
        </w:rPr>
        <w:t>Metropolitan Edison Company</w:t>
      </w:r>
      <w:r w:rsidR="008438A5">
        <w:rPr>
          <w:sz w:val="26"/>
          <w:szCs w:val="26"/>
        </w:rPr>
        <w:t xml:space="preserve">’s </w:t>
      </w:r>
      <w:r w:rsidR="00E146FD">
        <w:rPr>
          <w:sz w:val="26"/>
          <w:szCs w:val="26"/>
        </w:rPr>
        <w:t xml:space="preserve">tariff or </w:t>
      </w:r>
      <w:r w:rsidR="008438A5">
        <w:rPr>
          <w:sz w:val="26"/>
          <w:szCs w:val="26"/>
        </w:rPr>
        <w:t xml:space="preserve">tariff supplement may be filed upon less than statutory notice and, pursuant to the provisions of 52 Pa. Code </w:t>
      </w:r>
      <w:r w:rsidR="008438A5">
        <w:rPr>
          <w:sz w:val="26"/>
          <w:szCs w:val="26"/>
        </w:rPr>
        <w:br/>
        <w:t>§§ 53.31 and 53.101, may be filed to be effective for service rendered on and after the date of entry of the instant Opinion and Order.</w:t>
      </w:r>
      <w:r w:rsidR="00C06012">
        <w:rPr>
          <w:sz w:val="26"/>
          <w:szCs w:val="26"/>
        </w:rPr>
        <w:t xml:space="preserve">  However, Metropolitan Edison Company shall not implement the rates pursuant to its tariff until it is approved by this Commission.</w:t>
      </w:r>
    </w:p>
    <w:p w:rsidR="00E90334" w:rsidRDefault="00E90334" w:rsidP="00890C15">
      <w:pPr>
        <w:spacing w:line="360" w:lineRule="auto"/>
        <w:ind w:firstLine="1440"/>
        <w:rPr>
          <w:sz w:val="26"/>
          <w:szCs w:val="26"/>
        </w:rPr>
      </w:pPr>
    </w:p>
    <w:p w:rsidR="00417C4F" w:rsidRDefault="006E17BC" w:rsidP="00417C4F">
      <w:pPr>
        <w:spacing w:line="360" w:lineRule="auto"/>
        <w:ind w:firstLine="1440"/>
        <w:rPr>
          <w:sz w:val="26"/>
          <w:szCs w:val="26"/>
        </w:rPr>
      </w:pPr>
      <w:r>
        <w:rPr>
          <w:sz w:val="26"/>
          <w:szCs w:val="26"/>
        </w:rPr>
        <w:t>7</w:t>
      </w:r>
      <w:r w:rsidR="00417C4F" w:rsidRPr="004D5F55">
        <w:rPr>
          <w:sz w:val="26"/>
          <w:szCs w:val="26"/>
        </w:rPr>
        <w:t>.</w:t>
      </w:r>
      <w:r w:rsidR="00417C4F" w:rsidRPr="004D5F55">
        <w:rPr>
          <w:sz w:val="26"/>
          <w:szCs w:val="26"/>
        </w:rPr>
        <w:tab/>
        <w:t>That</w:t>
      </w:r>
      <w:r w:rsidR="00417C4F">
        <w:rPr>
          <w:sz w:val="26"/>
          <w:szCs w:val="26"/>
        </w:rPr>
        <w:t xml:space="preserve"> upon entry of this Opinion and Order, Pennsylvania Power </w:t>
      </w:r>
      <w:r w:rsidR="00417C4F" w:rsidRPr="004D5F55">
        <w:rPr>
          <w:sz w:val="26"/>
          <w:szCs w:val="26"/>
        </w:rPr>
        <w:t>Company</w:t>
      </w:r>
      <w:r w:rsidR="00417C4F">
        <w:rPr>
          <w:sz w:val="26"/>
          <w:szCs w:val="26"/>
        </w:rPr>
        <w:t xml:space="preserve"> is permitted to file </w:t>
      </w:r>
      <w:r w:rsidR="00A24595">
        <w:rPr>
          <w:sz w:val="26"/>
          <w:szCs w:val="26"/>
        </w:rPr>
        <w:t xml:space="preserve">a </w:t>
      </w:r>
      <w:r w:rsidR="00417C4F">
        <w:rPr>
          <w:sz w:val="26"/>
          <w:szCs w:val="26"/>
        </w:rPr>
        <w:t>tariff</w:t>
      </w:r>
      <w:r w:rsidR="00A24595">
        <w:rPr>
          <w:sz w:val="26"/>
          <w:szCs w:val="26"/>
        </w:rPr>
        <w:t xml:space="preserve"> or </w:t>
      </w:r>
      <w:r w:rsidR="00417C4F">
        <w:rPr>
          <w:sz w:val="26"/>
          <w:szCs w:val="26"/>
        </w:rPr>
        <w:t xml:space="preserve">tariff supplement to implement a </w:t>
      </w:r>
      <w:r w:rsidR="00417C4F" w:rsidRPr="004D5F55">
        <w:rPr>
          <w:sz w:val="26"/>
          <w:szCs w:val="26"/>
        </w:rPr>
        <w:t>Smart Meter Technologies Charge Rider</w:t>
      </w:r>
      <w:r w:rsidR="00417C4F">
        <w:rPr>
          <w:sz w:val="26"/>
          <w:szCs w:val="26"/>
        </w:rPr>
        <w:t xml:space="preserve">, consistent with this Opinion and Order.  </w:t>
      </w:r>
      <w:r w:rsidR="00BC194B">
        <w:rPr>
          <w:sz w:val="26"/>
          <w:szCs w:val="26"/>
        </w:rPr>
        <w:t>Pennsylvania Power</w:t>
      </w:r>
      <w:r w:rsidR="00417C4F">
        <w:rPr>
          <w:sz w:val="26"/>
          <w:szCs w:val="26"/>
        </w:rPr>
        <w:t xml:space="preserve"> Company shall also file supporting documentation reflecting the calculation of these charges.  Copies shall be </w:t>
      </w:r>
      <w:r w:rsidR="00417C4F" w:rsidRPr="004D5F55">
        <w:rPr>
          <w:sz w:val="26"/>
          <w:szCs w:val="26"/>
        </w:rPr>
        <w:t>serve</w:t>
      </w:r>
      <w:r w:rsidR="00417C4F">
        <w:rPr>
          <w:sz w:val="26"/>
          <w:szCs w:val="26"/>
        </w:rPr>
        <w:t>d</w:t>
      </w:r>
      <w:r w:rsidR="00417C4F" w:rsidRPr="004D5F55">
        <w:rPr>
          <w:sz w:val="26"/>
          <w:szCs w:val="26"/>
        </w:rPr>
        <w:t xml:space="preserve"> on all Parties to this p</w:t>
      </w:r>
      <w:r w:rsidR="00417C4F">
        <w:rPr>
          <w:sz w:val="26"/>
          <w:szCs w:val="26"/>
        </w:rPr>
        <w:t>roceeding</w:t>
      </w:r>
      <w:r w:rsidR="00417C4F" w:rsidRPr="004D5F55">
        <w:rPr>
          <w:sz w:val="26"/>
          <w:szCs w:val="26"/>
        </w:rPr>
        <w:t xml:space="preserve">.  </w:t>
      </w:r>
    </w:p>
    <w:p w:rsidR="00B37458" w:rsidRDefault="00B37458" w:rsidP="00B37458">
      <w:pPr>
        <w:spacing w:line="360" w:lineRule="auto"/>
        <w:ind w:firstLine="1440"/>
        <w:rPr>
          <w:sz w:val="26"/>
          <w:szCs w:val="26"/>
        </w:rPr>
      </w:pPr>
    </w:p>
    <w:p w:rsidR="00B37458" w:rsidRDefault="006E17BC" w:rsidP="00B37458">
      <w:pPr>
        <w:spacing w:line="360" w:lineRule="auto"/>
        <w:ind w:firstLine="1440"/>
        <w:rPr>
          <w:sz w:val="26"/>
          <w:szCs w:val="26"/>
        </w:rPr>
      </w:pPr>
      <w:r>
        <w:rPr>
          <w:sz w:val="26"/>
          <w:szCs w:val="26"/>
        </w:rPr>
        <w:t>8</w:t>
      </w:r>
      <w:r w:rsidR="00B37458">
        <w:rPr>
          <w:sz w:val="26"/>
          <w:szCs w:val="26"/>
        </w:rPr>
        <w:t>.</w:t>
      </w:r>
      <w:r w:rsidR="00B37458">
        <w:rPr>
          <w:sz w:val="26"/>
          <w:szCs w:val="26"/>
        </w:rPr>
        <w:tab/>
        <w:t xml:space="preserve">That Pennsylvania Power </w:t>
      </w:r>
      <w:r w:rsidR="00B37458" w:rsidRPr="004D5F55">
        <w:rPr>
          <w:sz w:val="26"/>
          <w:szCs w:val="26"/>
        </w:rPr>
        <w:t>Company</w:t>
      </w:r>
      <w:r w:rsidR="00B37458">
        <w:rPr>
          <w:sz w:val="26"/>
          <w:szCs w:val="26"/>
        </w:rPr>
        <w:t xml:space="preserve">’s </w:t>
      </w:r>
      <w:r w:rsidR="00A24595">
        <w:rPr>
          <w:sz w:val="26"/>
          <w:szCs w:val="26"/>
        </w:rPr>
        <w:t xml:space="preserve">tariff or </w:t>
      </w:r>
      <w:r w:rsidR="00B37458">
        <w:rPr>
          <w:sz w:val="26"/>
          <w:szCs w:val="26"/>
        </w:rPr>
        <w:t xml:space="preserve">tariff supplement may be filed upon less than statutory notice and, pursuant to the provisions of 52 Pa. Code </w:t>
      </w:r>
      <w:r w:rsidR="00B37458">
        <w:rPr>
          <w:sz w:val="26"/>
          <w:szCs w:val="26"/>
        </w:rPr>
        <w:br/>
        <w:t>§§ 53.31 and 53.101, may be filed to be effective for service rendered on and after the date of entry of the instant Opinion and Order.</w:t>
      </w:r>
      <w:r w:rsidR="00C06012">
        <w:rPr>
          <w:sz w:val="26"/>
          <w:szCs w:val="26"/>
        </w:rPr>
        <w:t xml:space="preserve">  However, Pennsylvania Power Company shall not implement the rates pursuant to its tariff until it is approved by this Commission.</w:t>
      </w:r>
    </w:p>
    <w:p w:rsidR="00E90334" w:rsidRDefault="00E90334" w:rsidP="00890C15">
      <w:pPr>
        <w:spacing w:line="360" w:lineRule="auto"/>
        <w:ind w:firstLine="1440"/>
        <w:rPr>
          <w:sz w:val="26"/>
          <w:szCs w:val="26"/>
        </w:rPr>
      </w:pPr>
    </w:p>
    <w:p w:rsidR="00BC194B" w:rsidRDefault="006E17BC" w:rsidP="00BC194B">
      <w:pPr>
        <w:spacing w:line="360" w:lineRule="auto"/>
        <w:ind w:firstLine="1440"/>
        <w:rPr>
          <w:sz w:val="26"/>
          <w:szCs w:val="26"/>
        </w:rPr>
      </w:pPr>
      <w:r>
        <w:rPr>
          <w:sz w:val="26"/>
          <w:szCs w:val="26"/>
        </w:rPr>
        <w:lastRenderedPageBreak/>
        <w:t>9</w:t>
      </w:r>
      <w:r w:rsidR="00BC194B" w:rsidRPr="004D5F55">
        <w:rPr>
          <w:sz w:val="26"/>
          <w:szCs w:val="26"/>
        </w:rPr>
        <w:t>.</w:t>
      </w:r>
      <w:r w:rsidR="00BC194B" w:rsidRPr="004D5F55">
        <w:rPr>
          <w:sz w:val="26"/>
          <w:szCs w:val="26"/>
        </w:rPr>
        <w:tab/>
        <w:t>That</w:t>
      </w:r>
      <w:r w:rsidR="00BC194B">
        <w:rPr>
          <w:sz w:val="26"/>
          <w:szCs w:val="26"/>
        </w:rPr>
        <w:t xml:space="preserve"> upon entry of this Opinion and Order, Pennsylvania Electric </w:t>
      </w:r>
      <w:r w:rsidR="00BC194B" w:rsidRPr="004D5F55">
        <w:rPr>
          <w:sz w:val="26"/>
          <w:szCs w:val="26"/>
        </w:rPr>
        <w:t>Company</w:t>
      </w:r>
      <w:r w:rsidR="00BC194B">
        <w:rPr>
          <w:sz w:val="26"/>
          <w:szCs w:val="26"/>
        </w:rPr>
        <w:t xml:space="preserve"> is permitted to file </w:t>
      </w:r>
      <w:r w:rsidR="00A24595">
        <w:rPr>
          <w:sz w:val="26"/>
          <w:szCs w:val="26"/>
        </w:rPr>
        <w:t xml:space="preserve">a </w:t>
      </w:r>
      <w:r w:rsidR="00BC194B">
        <w:rPr>
          <w:sz w:val="26"/>
          <w:szCs w:val="26"/>
        </w:rPr>
        <w:t>tariff</w:t>
      </w:r>
      <w:r w:rsidR="00A24595">
        <w:rPr>
          <w:sz w:val="26"/>
          <w:szCs w:val="26"/>
        </w:rPr>
        <w:t xml:space="preserve"> or tariff supplement</w:t>
      </w:r>
      <w:r w:rsidR="00BC194B">
        <w:rPr>
          <w:sz w:val="26"/>
          <w:szCs w:val="26"/>
        </w:rPr>
        <w:t xml:space="preserve"> to implement a </w:t>
      </w:r>
      <w:r w:rsidR="00BC194B" w:rsidRPr="004D5F55">
        <w:rPr>
          <w:sz w:val="26"/>
          <w:szCs w:val="26"/>
        </w:rPr>
        <w:t>Smart Meter Technologies Charge Rider</w:t>
      </w:r>
      <w:r w:rsidR="00BC194B">
        <w:rPr>
          <w:sz w:val="26"/>
          <w:szCs w:val="26"/>
        </w:rPr>
        <w:t xml:space="preserve">, consistent with this Opinion and Order.  Pennsylvania Electric Company shall also file supporting documentation reflecting the calculation of these charges.  Copies shall be </w:t>
      </w:r>
      <w:r w:rsidR="00BC194B" w:rsidRPr="004D5F55">
        <w:rPr>
          <w:sz w:val="26"/>
          <w:szCs w:val="26"/>
        </w:rPr>
        <w:t>serve</w:t>
      </w:r>
      <w:r w:rsidR="00BC194B">
        <w:rPr>
          <w:sz w:val="26"/>
          <w:szCs w:val="26"/>
        </w:rPr>
        <w:t>d</w:t>
      </w:r>
      <w:r w:rsidR="00BC194B" w:rsidRPr="004D5F55">
        <w:rPr>
          <w:sz w:val="26"/>
          <w:szCs w:val="26"/>
        </w:rPr>
        <w:t xml:space="preserve"> on all Parties to this p</w:t>
      </w:r>
      <w:r w:rsidR="00BC194B">
        <w:rPr>
          <w:sz w:val="26"/>
          <w:szCs w:val="26"/>
        </w:rPr>
        <w:t>roceeding</w:t>
      </w:r>
      <w:r w:rsidR="00BC194B" w:rsidRPr="004D5F55">
        <w:rPr>
          <w:sz w:val="26"/>
          <w:szCs w:val="26"/>
        </w:rPr>
        <w:t xml:space="preserve">.  </w:t>
      </w:r>
    </w:p>
    <w:p w:rsidR="00B37458" w:rsidRDefault="00B37458" w:rsidP="00B37458">
      <w:pPr>
        <w:spacing w:line="360" w:lineRule="auto"/>
        <w:ind w:firstLine="1440"/>
        <w:rPr>
          <w:sz w:val="26"/>
          <w:szCs w:val="26"/>
        </w:rPr>
      </w:pPr>
    </w:p>
    <w:p w:rsidR="00B37458" w:rsidRDefault="006E17BC" w:rsidP="00B37458">
      <w:pPr>
        <w:spacing w:line="360" w:lineRule="auto"/>
        <w:ind w:firstLine="1440"/>
        <w:rPr>
          <w:sz w:val="26"/>
          <w:szCs w:val="26"/>
        </w:rPr>
      </w:pPr>
      <w:r>
        <w:rPr>
          <w:sz w:val="26"/>
          <w:szCs w:val="26"/>
        </w:rPr>
        <w:t>10</w:t>
      </w:r>
      <w:r w:rsidR="00B37458">
        <w:rPr>
          <w:sz w:val="26"/>
          <w:szCs w:val="26"/>
        </w:rPr>
        <w:t>.</w:t>
      </w:r>
      <w:r w:rsidR="00B37458">
        <w:rPr>
          <w:sz w:val="26"/>
          <w:szCs w:val="26"/>
        </w:rPr>
        <w:tab/>
        <w:t xml:space="preserve">That </w:t>
      </w:r>
      <w:r w:rsidR="00677C84">
        <w:rPr>
          <w:sz w:val="26"/>
          <w:szCs w:val="26"/>
        </w:rPr>
        <w:t xml:space="preserve">Pennsylvania Electric </w:t>
      </w:r>
      <w:r w:rsidR="00B37458" w:rsidRPr="004D5F55">
        <w:rPr>
          <w:sz w:val="26"/>
          <w:szCs w:val="26"/>
        </w:rPr>
        <w:t>Company</w:t>
      </w:r>
      <w:r w:rsidR="00B37458">
        <w:rPr>
          <w:sz w:val="26"/>
          <w:szCs w:val="26"/>
        </w:rPr>
        <w:t xml:space="preserve">’s tariff </w:t>
      </w:r>
      <w:r w:rsidR="00A24595">
        <w:rPr>
          <w:sz w:val="26"/>
          <w:szCs w:val="26"/>
        </w:rPr>
        <w:t>or tariff supplement</w:t>
      </w:r>
      <w:r w:rsidR="00B37458">
        <w:rPr>
          <w:sz w:val="26"/>
          <w:szCs w:val="26"/>
        </w:rPr>
        <w:t xml:space="preserve"> may be filed upon less than statutory notice and, pursuant to the provisions of 52 Pa. Code §§ 53.31 and 53.101, may be filed to be effective for service rendered on and after the date of entry of the instant Opinion and Order.</w:t>
      </w:r>
      <w:r w:rsidR="00C06012">
        <w:rPr>
          <w:sz w:val="26"/>
          <w:szCs w:val="26"/>
        </w:rPr>
        <w:t xml:space="preserve">  However, Pennsylvania Electric Company shall not implement the rates pursuant to its tariff until it is approved by this Commission.</w:t>
      </w:r>
    </w:p>
    <w:p w:rsidR="00E90334" w:rsidRDefault="00E90334" w:rsidP="00890C15">
      <w:pPr>
        <w:spacing w:line="360" w:lineRule="auto"/>
        <w:ind w:firstLine="1440"/>
        <w:rPr>
          <w:sz w:val="26"/>
          <w:szCs w:val="26"/>
        </w:rPr>
      </w:pPr>
    </w:p>
    <w:p w:rsidR="005E5C57" w:rsidRPr="007D018F" w:rsidRDefault="006E17BC" w:rsidP="005E5C57">
      <w:pPr>
        <w:spacing w:line="360" w:lineRule="auto"/>
        <w:ind w:firstLine="1440"/>
        <w:rPr>
          <w:sz w:val="26"/>
          <w:szCs w:val="26"/>
        </w:rPr>
      </w:pPr>
      <w:r>
        <w:rPr>
          <w:sz w:val="26"/>
          <w:szCs w:val="26"/>
        </w:rPr>
        <w:t>11</w:t>
      </w:r>
      <w:r w:rsidR="00BD3216">
        <w:rPr>
          <w:sz w:val="26"/>
          <w:szCs w:val="26"/>
        </w:rPr>
        <w:t>.</w:t>
      </w:r>
      <w:r w:rsidR="00BD3216">
        <w:rPr>
          <w:sz w:val="26"/>
          <w:szCs w:val="26"/>
        </w:rPr>
        <w:tab/>
      </w:r>
      <w:r w:rsidR="005E5C57">
        <w:rPr>
          <w:sz w:val="26"/>
          <w:szCs w:val="26"/>
        </w:rPr>
        <w:t xml:space="preserve">That Metropolitan Edison Company, Pennsylvania Electric Company and Pennsylvania Power Company </w:t>
      </w:r>
      <w:r w:rsidR="005E5C57" w:rsidRPr="007D018F">
        <w:rPr>
          <w:sz w:val="26"/>
          <w:szCs w:val="26"/>
        </w:rPr>
        <w:t>sh</w:t>
      </w:r>
      <w:r w:rsidR="005E5C57">
        <w:rPr>
          <w:sz w:val="26"/>
          <w:szCs w:val="26"/>
        </w:rPr>
        <w:t xml:space="preserve">all </w:t>
      </w:r>
      <w:r w:rsidR="005E5C57" w:rsidRPr="007D018F">
        <w:rPr>
          <w:sz w:val="26"/>
          <w:szCs w:val="26"/>
        </w:rPr>
        <w:t xml:space="preserve">study </w:t>
      </w:r>
      <w:r w:rsidR="005E5C57">
        <w:rPr>
          <w:sz w:val="26"/>
          <w:szCs w:val="26"/>
        </w:rPr>
        <w:t xml:space="preserve">sub-hourly metering </w:t>
      </w:r>
      <w:r w:rsidR="005E5C57" w:rsidRPr="007D018F">
        <w:rPr>
          <w:sz w:val="26"/>
          <w:szCs w:val="26"/>
        </w:rPr>
        <w:t>issues during the Assessment Period</w:t>
      </w:r>
      <w:r w:rsidR="005E5C57">
        <w:rPr>
          <w:sz w:val="26"/>
          <w:szCs w:val="26"/>
        </w:rPr>
        <w:t xml:space="preserve"> </w:t>
      </w:r>
      <w:r w:rsidR="007B74D8">
        <w:rPr>
          <w:sz w:val="26"/>
          <w:szCs w:val="26"/>
        </w:rPr>
        <w:t xml:space="preserve">using a stakeholder collaborative process </w:t>
      </w:r>
      <w:r w:rsidR="005E5C57">
        <w:rPr>
          <w:sz w:val="26"/>
          <w:szCs w:val="26"/>
        </w:rPr>
        <w:t xml:space="preserve">and include </w:t>
      </w:r>
      <w:r w:rsidR="005E5C57" w:rsidRPr="007D018F">
        <w:rPr>
          <w:sz w:val="26"/>
          <w:szCs w:val="26"/>
        </w:rPr>
        <w:t xml:space="preserve">the results in the </w:t>
      </w:r>
      <w:r w:rsidR="005E5C57">
        <w:rPr>
          <w:sz w:val="26"/>
          <w:szCs w:val="26"/>
        </w:rPr>
        <w:t>Deployment P</w:t>
      </w:r>
      <w:r w:rsidR="005E5C57" w:rsidRPr="007D018F">
        <w:rPr>
          <w:sz w:val="26"/>
          <w:szCs w:val="26"/>
        </w:rPr>
        <w:t xml:space="preserve">lan </w:t>
      </w:r>
      <w:r w:rsidR="005E5C57">
        <w:rPr>
          <w:sz w:val="26"/>
          <w:szCs w:val="26"/>
        </w:rPr>
        <w:t xml:space="preserve">to be </w:t>
      </w:r>
      <w:r w:rsidR="005E5C57" w:rsidRPr="007D018F">
        <w:rPr>
          <w:sz w:val="26"/>
          <w:szCs w:val="26"/>
        </w:rPr>
        <w:t xml:space="preserve">filed with the Commission.  </w:t>
      </w:r>
      <w:r w:rsidR="005E5C57">
        <w:rPr>
          <w:sz w:val="26"/>
          <w:szCs w:val="26"/>
        </w:rPr>
        <w:t>The Deployment Plan</w:t>
      </w:r>
      <w:r w:rsidR="005E5C57" w:rsidRPr="007D018F">
        <w:rPr>
          <w:sz w:val="26"/>
          <w:szCs w:val="26"/>
        </w:rPr>
        <w:t xml:space="preserve"> sh</w:t>
      </w:r>
      <w:r w:rsidR="005E5C57">
        <w:rPr>
          <w:sz w:val="26"/>
          <w:szCs w:val="26"/>
        </w:rPr>
        <w:t xml:space="preserve">all also </w:t>
      </w:r>
      <w:r w:rsidR="005E5C57" w:rsidRPr="007D018F">
        <w:rPr>
          <w:sz w:val="26"/>
          <w:szCs w:val="26"/>
        </w:rPr>
        <w:t>provide a thorough cost/benefi</w:t>
      </w:r>
      <w:r w:rsidR="008E7252">
        <w:rPr>
          <w:sz w:val="26"/>
          <w:szCs w:val="26"/>
        </w:rPr>
        <w:t>t analysis</w:t>
      </w:r>
      <w:r w:rsidR="005E5C57" w:rsidRPr="007D018F">
        <w:rPr>
          <w:sz w:val="26"/>
          <w:szCs w:val="26"/>
        </w:rPr>
        <w:t xml:space="preserve">.  </w:t>
      </w:r>
    </w:p>
    <w:p w:rsidR="005E5C57" w:rsidRDefault="005E5C57" w:rsidP="00890C15">
      <w:pPr>
        <w:spacing w:line="360" w:lineRule="auto"/>
        <w:ind w:firstLine="1440"/>
        <w:rPr>
          <w:sz w:val="26"/>
          <w:szCs w:val="26"/>
        </w:rPr>
      </w:pPr>
    </w:p>
    <w:p w:rsidR="005E5C57" w:rsidRDefault="006E17BC" w:rsidP="00890C15">
      <w:pPr>
        <w:spacing w:line="360" w:lineRule="auto"/>
        <w:ind w:firstLine="1440"/>
        <w:rPr>
          <w:sz w:val="26"/>
          <w:szCs w:val="26"/>
        </w:rPr>
      </w:pPr>
      <w:r>
        <w:rPr>
          <w:sz w:val="26"/>
          <w:szCs w:val="26"/>
        </w:rPr>
        <w:t>12</w:t>
      </w:r>
      <w:r w:rsidR="00425992">
        <w:rPr>
          <w:sz w:val="26"/>
          <w:szCs w:val="26"/>
        </w:rPr>
        <w:t>.</w:t>
      </w:r>
      <w:r w:rsidR="00425992">
        <w:rPr>
          <w:sz w:val="26"/>
          <w:szCs w:val="26"/>
        </w:rPr>
        <w:tab/>
        <w:t xml:space="preserve">That all Plan costs, including both expense and capital items (net of tax) and revenues included in the Companies’ smart meter revenues, shall not be included in the revenue requirement used in future distribution base rate cases of Metropolitan Edison Company, Pennsylvania Electric Company or Pennsylvania Power Company, and will be subject to Commission review and audit.  </w:t>
      </w:r>
    </w:p>
    <w:p w:rsidR="005E5C57" w:rsidRDefault="005E5C57" w:rsidP="00890C15">
      <w:pPr>
        <w:spacing w:line="360" w:lineRule="auto"/>
        <w:ind w:firstLine="1440"/>
        <w:rPr>
          <w:sz w:val="26"/>
          <w:szCs w:val="26"/>
        </w:rPr>
      </w:pPr>
    </w:p>
    <w:p w:rsidR="00D757F9" w:rsidRDefault="006E17BC" w:rsidP="00D757F9">
      <w:pPr>
        <w:spacing w:line="360" w:lineRule="auto"/>
        <w:ind w:firstLine="1440"/>
        <w:rPr>
          <w:sz w:val="26"/>
          <w:szCs w:val="26"/>
        </w:rPr>
      </w:pPr>
      <w:r>
        <w:rPr>
          <w:sz w:val="26"/>
          <w:szCs w:val="26"/>
        </w:rPr>
        <w:t>13</w:t>
      </w:r>
      <w:r w:rsidR="00425992">
        <w:rPr>
          <w:sz w:val="26"/>
          <w:szCs w:val="26"/>
        </w:rPr>
        <w:t>.</w:t>
      </w:r>
      <w:r w:rsidR="00D757F9">
        <w:rPr>
          <w:sz w:val="26"/>
          <w:szCs w:val="26"/>
        </w:rPr>
        <w:tab/>
        <w:t xml:space="preserve">That Metropolitan Edison Company, Pennsylvania Electric Company and Pennsylvania Power Company shall submit their annual </w:t>
      </w:r>
      <w:r w:rsidR="00B55DC4">
        <w:rPr>
          <w:sz w:val="26"/>
          <w:szCs w:val="26"/>
        </w:rPr>
        <w:t>Smart Meter Plan</w:t>
      </w:r>
      <w:r w:rsidR="005F43B8">
        <w:rPr>
          <w:sz w:val="26"/>
          <w:szCs w:val="26"/>
        </w:rPr>
        <w:t xml:space="preserve"> </w:t>
      </w:r>
      <w:r w:rsidR="00D757F9">
        <w:rPr>
          <w:sz w:val="26"/>
          <w:szCs w:val="26"/>
        </w:rPr>
        <w:t xml:space="preserve">filings by August 1, using a twelve-month Reconciliation Year ending on June 30 and an </w:t>
      </w:r>
      <w:r w:rsidR="00D757F9">
        <w:rPr>
          <w:sz w:val="26"/>
          <w:szCs w:val="26"/>
        </w:rPr>
        <w:lastRenderedPageBreak/>
        <w:t>effective date of January 1 of the following year.</w:t>
      </w:r>
      <w:r w:rsidR="006B243B">
        <w:rPr>
          <w:sz w:val="26"/>
          <w:szCs w:val="26"/>
        </w:rPr>
        <w:t xml:space="preserve">  Commission proceedings shall be scheduled so that hearings may be held by October 1.  </w:t>
      </w:r>
    </w:p>
    <w:p w:rsidR="00B014E3" w:rsidRDefault="00B014E3" w:rsidP="00D757F9">
      <w:pPr>
        <w:spacing w:line="360" w:lineRule="auto"/>
        <w:ind w:firstLine="1440"/>
        <w:rPr>
          <w:sz w:val="26"/>
          <w:szCs w:val="26"/>
        </w:rPr>
      </w:pPr>
    </w:p>
    <w:p w:rsidR="002E310A" w:rsidRDefault="006E17BC" w:rsidP="00890C15">
      <w:pPr>
        <w:spacing w:line="360" w:lineRule="auto"/>
        <w:ind w:firstLine="1440"/>
        <w:rPr>
          <w:sz w:val="26"/>
          <w:szCs w:val="26"/>
        </w:rPr>
      </w:pPr>
      <w:r>
        <w:rPr>
          <w:sz w:val="26"/>
          <w:szCs w:val="26"/>
        </w:rPr>
        <w:t>14</w:t>
      </w:r>
      <w:r w:rsidR="00B014E3">
        <w:rPr>
          <w:sz w:val="26"/>
          <w:szCs w:val="26"/>
        </w:rPr>
        <w:t>.</w:t>
      </w:r>
      <w:r w:rsidR="00B014E3">
        <w:rPr>
          <w:sz w:val="26"/>
          <w:szCs w:val="26"/>
        </w:rPr>
        <w:tab/>
      </w:r>
      <w:r w:rsidR="002E310A">
        <w:rPr>
          <w:sz w:val="26"/>
          <w:szCs w:val="26"/>
        </w:rPr>
        <w:t>That any directive, requirement, disposition or the like contained in the body of this Opinion and Order that is not the subject of an individual Or</w:t>
      </w:r>
      <w:r w:rsidR="005F43B8">
        <w:rPr>
          <w:sz w:val="26"/>
          <w:szCs w:val="26"/>
        </w:rPr>
        <w:t xml:space="preserve">dering Paragraph shall have </w:t>
      </w:r>
      <w:r w:rsidR="002E310A">
        <w:rPr>
          <w:sz w:val="26"/>
          <w:szCs w:val="26"/>
        </w:rPr>
        <w:t>full force and effect as if fully contained in this part.</w:t>
      </w:r>
    </w:p>
    <w:p w:rsidR="002E310A" w:rsidRDefault="002E310A" w:rsidP="00890C15">
      <w:pPr>
        <w:spacing w:line="360" w:lineRule="auto"/>
        <w:ind w:firstLine="1440"/>
        <w:rPr>
          <w:sz w:val="26"/>
          <w:szCs w:val="26"/>
        </w:rPr>
      </w:pPr>
    </w:p>
    <w:p w:rsidR="00890C15" w:rsidRDefault="006E17BC" w:rsidP="00890C15">
      <w:pPr>
        <w:spacing w:line="360" w:lineRule="auto"/>
        <w:ind w:firstLine="1440"/>
        <w:rPr>
          <w:sz w:val="26"/>
          <w:szCs w:val="26"/>
        </w:rPr>
      </w:pPr>
      <w:r>
        <w:rPr>
          <w:sz w:val="26"/>
          <w:szCs w:val="26"/>
        </w:rPr>
        <w:t>15</w:t>
      </w:r>
      <w:r w:rsidR="00890C15">
        <w:rPr>
          <w:sz w:val="26"/>
          <w:szCs w:val="26"/>
        </w:rPr>
        <w:t>.</w:t>
      </w:r>
      <w:r w:rsidR="00890C15">
        <w:rPr>
          <w:sz w:val="26"/>
          <w:szCs w:val="26"/>
        </w:rPr>
        <w:tab/>
        <w:t>Th</w:t>
      </w:r>
      <w:r w:rsidR="004B61A2">
        <w:rPr>
          <w:sz w:val="26"/>
          <w:szCs w:val="26"/>
        </w:rPr>
        <w:t>at th</w:t>
      </w:r>
      <w:r w:rsidR="00890C15">
        <w:rPr>
          <w:sz w:val="26"/>
          <w:szCs w:val="26"/>
        </w:rPr>
        <w:t xml:space="preserve">e </w:t>
      </w:r>
      <w:r w:rsidR="004F3F69">
        <w:rPr>
          <w:sz w:val="26"/>
          <w:szCs w:val="26"/>
        </w:rPr>
        <w:t>Initial Decision issued by Administrative Law Judge Susan D. Colwe</w:t>
      </w:r>
      <w:r w:rsidR="004B61A2">
        <w:rPr>
          <w:sz w:val="26"/>
          <w:szCs w:val="26"/>
        </w:rPr>
        <w:t>ll on January 28, 2010, is modified, consistent with this Opinion and Order</w:t>
      </w:r>
      <w:r w:rsidR="004F3F69">
        <w:rPr>
          <w:sz w:val="26"/>
          <w:szCs w:val="26"/>
        </w:rPr>
        <w:t>.</w:t>
      </w:r>
    </w:p>
    <w:p w:rsidR="004B61A2" w:rsidRDefault="004B61A2" w:rsidP="00890C15">
      <w:pPr>
        <w:spacing w:line="360" w:lineRule="auto"/>
        <w:ind w:firstLine="1440"/>
        <w:rPr>
          <w:sz w:val="26"/>
          <w:szCs w:val="26"/>
        </w:rPr>
      </w:pPr>
    </w:p>
    <w:p w:rsidR="004F3F69" w:rsidRDefault="006E17BC" w:rsidP="00890C15">
      <w:pPr>
        <w:spacing w:line="360" w:lineRule="auto"/>
        <w:ind w:firstLine="1440"/>
        <w:rPr>
          <w:sz w:val="26"/>
          <w:szCs w:val="26"/>
        </w:rPr>
      </w:pPr>
      <w:r>
        <w:rPr>
          <w:sz w:val="26"/>
          <w:szCs w:val="26"/>
        </w:rPr>
        <w:t>16</w:t>
      </w:r>
      <w:r w:rsidR="004B61A2">
        <w:rPr>
          <w:sz w:val="26"/>
          <w:szCs w:val="26"/>
        </w:rPr>
        <w:t>.</w:t>
      </w:r>
      <w:r w:rsidR="004B61A2">
        <w:rPr>
          <w:sz w:val="26"/>
          <w:szCs w:val="26"/>
        </w:rPr>
        <w:tab/>
        <w:t xml:space="preserve">That </w:t>
      </w:r>
      <w:r w:rsidR="002E310A">
        <w:rPr>
          <w:sz w:val="26"/>
          <w:szCs w:val="26"/>
        </w:rPr>
        <w:t>t</w:t>
      </w:r>
      <w:r w:rsidR="004F3F69">
        <w:rPr>
          <w:sz w:val="26"/>
          <w:szCs w:val="26"/>
        </w:rPr>
        <w:t>he Exceptions filed by the Offic</w:t>
      </w:r>
      <w:r w:rsidR="002E310A">
        <w:rPr>
          <w:sz w:val="26"/>
          <w:szCs w:val="26"/>
        </w:rPr>
        <w:t>e of Consumer Advocate are denied.</w:t>
      </w:r>
    </w:p>
    <w:p w:rsidR="004F3F69" w:rsidRDefault="004F3F69" w:rsidP="00890C15">
      <w:pPr>
        <w:spacing w:line="360" w:lineRule="auto"/>
        <w:ind w:firstLine="1440"/>
        <w:rPr>
          <w:sz w:val="26"/>
          <w:szCs w:val="26"/>
        </w:rPr>
      </w:pPr>
    </w:p>
    <w:p w:rsidR="004F3F69" w:rsidRDefault="006E17BC" w:rsidP="00890C15">
      <w:pPr>
        <w:spacing w:line="360" w:lineRule="auto"/>
        <w:ind w:firstLine="1440"/>
        <w:rPr>
          <w:sz w:val="26"/>
          <w:szCs w:val="26"/>
        </w:rPr>
      </w:pPr>
      <w:r>
        <w:rPr>
          <w:sz w:val="26"/>
          <w:szCs w:val="26"/>
        </w:rPr>
        <w:t>17</w:t>
      </w:r>
      <w:r w:rsidR="00912102">
        <w:rPr>
          <w:sz w:val="26"/>
          <w:szCs w:val="26"/>
        </w:rPr>
        <w:t>.</w:t>
      </w:r>
      <w:r w:rsidR="00912102">
        <w:rPr>
          <w:sz w:val="26"/>
          <w:szCs w:val="26"/>
        </w:rPr>
        <w:tab/>
        <w:t>That t</w:t>
      </w:r>
      <w:r w:rsidR="004F3F69">
        <w:rPr>
          <w:sz w:val="26"/>
          <w:szCs w:val="26"/>
        </w:rPr>
        <w:t>he Exceptions filed by Metropolitan Edison Company, Pennsylvania Electric Company and Pe</w:t>
      </w:r>
      <w:r w:rsidR="002E310A">
        <w:rPr>
          <w:sz w:val="26"/>
          <w:szCs w:val="26"/>
        </w:rPr>
        <w:t>nnsylvania Power Company are granted in part and denied in part</w:t>
      </w:r>
      <w:r w:rsidR="004F3F69">
        <w:rPr>
          <w:sz w:val="26"/>
          <w:szCs w:val="26"/>
        </w:rPr>
        <w:t>.</w:t>
      </w:r>
    </w:p>
    <w:p w:rsidR="004F3F69" w:rsidRDefault="004F3F69" w:rsidP="00890C15">
      <w:pPr>
        <w:spacing w:line="360" w:lineRule="auto"/>
        <w:ind w:firstLine="1440"/>
        <w:rPr>
          <w:sz w:val="26"/>
          <w:szCs w:val="26"/>
        </w:rPr>
      </w:pPr>
    </w:p>
    <w:p w:rsidR="004F3F69" w:rsidRDefault="006E17BC" w:rsidP="00890C15">
      <w:pPr>
        <w:spacing w:line="360" w:lineRule="auto"/>
        <w:ind w:firstLine="1440"/>
        <w:rPr>
          <w:sz w:val="26"/>
          <w:szCs w:val="26"/>
        </w:rPr>
      </w:pPr>
      <w:r>
        <w:rPr>
          <w:sz w:val="26"/>
          <w:szCs w:val="26"/>
        </w:rPr>
        <w:t>18</w:t>
      </w:r>
      <w:r w:rsidR="004F3F69">
        <w:rPr>
          <w:sz w:val="26"/>
          <w:szCs w:val="26"/>
        </w:rPr>
        <w:t>.</w:t>
      </w:r>
      <w:r w:rsidR="004F3F69">
        <w:rPr>
          <w:sz w:val="26"/>
          <w:szCs w:val="26"/>
        </w:rPr>
        <w:tab/>
        <w:t>T</w:t>
      </w:r>
      <w:r w:rsidR="00912102">
        <w:rPr>
          <w:sz w:val="26"/>
          <w:szCs w:val="26"/>
        </w:rPr>
        <w:t>hat t</w:t>
      </w:r>
      <w:r w:rsidR="004F3F69">
        <w:rPr>
          <w:sz w:val="26"/>
          <w:szCs w:val="26"/>
        </w:rPr>
        <w:t>he Exceptions filed by th</w:t>
      </w:r>
      <w:r w:rsidR="002E310A">
        <w:rPr>
          <w:sz w:val="26"/>
          <w:szCs w:val="26"/>
        </w:rPr>
        <w:t>e Office of Trial Staff are granted in part and denied in part</w:t>
      </w:r>
      <w:r w:rsidR="004F3F69">
        <w:rPr>
          <w:sz w:val="26"/>
          <w:szCs w:val="26"/>
        </w:rPr>
        <w:t>.</w:t>
      </w:r>
    </w:p>
    <w:p w:rsidR="004F3F69" w:rsidRDefault="004F3F69" w:rsidP="00890C15">
      <w:pPr>
        <w:spacing w:line="360" w:lineRule="auto"/>
        <w:ind w:firstLine="1440"/>
        <w:rPr>
          <w:sz w:val="26"/>
          <w:szCs w:val="26"/>
        </w:rPr>
      </w:pPr>
    </w:p>
    <w:p w:rsidR="004F3F69" w:rsidRDefault="006E17BC" w:rsidP="00890C15">
      <w:pPr>
        <w:spacing w:line="360" w:lineRule="auto"/>
        <w:ind w:firstLine="1440"/>
        <w:rPr>
          <w:sz w:val="26"/>
        </w:rPr>
      </w:pPr>
      <w:r>
        <w:rPr>
          <w:sz w:val="26"/>
          <w:szCs w:val="26"/>
        </w:rPr>
        <w:t>19</w:t>
      </w:r>
      <w:r w:rsidR="004F3F69">
        <w:rPr>
          <w:sz w:val="26"/>
          <w:szCs w:val="26"/>
        </w:rPr>
        <w:t>.</w:t>
      </w:r>
      <w:r w:rsidR="004F3F69">
        <w:rPr>
          <w:sz w:val="26"/>
          <w:szCs w:val="26"/>
        </w:rPr>
        <w:tab/>
        <w:t>T</w:t>
      </w:r>
      <w:r w:rsidR="00912102">
        <w:rPr>
          <w:sz w:val="26"/>
          <w:szCs w:val="26"/>
        </w:rPr>
        <w:t>hat t</w:t>
      </w:r>
      <w:r w:rsidR="004F3F69">
        <w:rPr>
          <w:sz w:val="26"/>
          <w:szCs w:val="26"/>
        </w:rPr>
        <w:t>he Exceptions filed by the Department of E</w:t>
      </w:r>
      <w:r w:rsidR="002E310A">
        <w:rPr>
          <w:sz w:val="26"/>
          <w:szCs w:val="26"/>
        </w:rPr>
        <w:t>nvironmental Protection are denied</w:t>
      </w:r>
      <w:r w:rsidR="004F3F69">
        <w:rPr>
          <w:sz w:val="26"/>
          <w:szCs w:val="26"/>
        </w:rPr>
        <w:t>.</w:t>
      </w:r>
    </w:p>
    <w:p w:rsidR="00EA50B3" w:rsidRDefault="00EA50B3" w:rsidP="0096733E">
      <w:pPr>
        <w:spacing w:line="360" w:lineRule="auto"/>
        <w:ind w:firstLine="1440"/>
        <w:rPr>
          <w:sz w:val="26"/>
        </w:rPr>
      </w:pPr>
    </w:p>
    <w:p w:rsidR="002B2FB5" w:rsidRDefault="002B2FB5">
      <w:pPr>
        <w:spacing w:after="200" w:line="276" w:lineRule="auto"/>
        <w:rPr>
          <w:sz w:val="26"/>
        </w:rPr>
      </w:pPr>
      <w:r>
        <w:rPr>
          <w:sz w:val="26"/>
        </w:rPr>
        <w:br w:type="page"/>
      </w:r>
    </w:p>
    <w:p w:rsidR="00EE5629" w:rsidRDefault="006E17BC" w:rsidP="0096733E">
      <w:pPr>
        <w:spacing w:line="360" w:lineRule="auto"/>
        <w:ind w:firstLine="1440"/>
        <w:rPr>
          <w:sz w:val="26"/>
        </w:rPr>
      </w:pPr>
      <w:r>
        <w:rPr>
          <w:sz w:val="26"/>
        </w:rPr>
        <w:lastRenderedPageBreak/>
        <w:t>20</w:t>
      </w:r>
      <w:r w:rsidR="00EE5629">
        <w:rPr>
          <w:sz w:val="26"/>
        </w:rPr>
        <w:t>.</w:t>
      </w:r>
      <w:r w:rsidR="00EE5629">
        <w:rPr>
          <w:sz w:val="26"/>
        </w:rPr>
        <w:tab/>
      </w:r>
      <w:r w:rsidR="00912102">
        <w:rPr>
          <w:sz w:val="26"/>
        </w:rPr>
        <w:t>That, u</w:t>
      </w:r>
      <w:r w:rsidR="004B5962">
        <w:rPr>
          <w:sz w:val="26"/>
        </w:rPr>
        <w:t xml:space="preserve">pon </w:t>
      </w:r>
      <w:r w:rsidR="008438A5">
        <w:rPr>
          <w:sz w:val="26"/>
        </w:rPr>
        <w:t xml:space="preserve">acceptance and approval by the Commission of the tariff revisions filed by </w:t>
      </w:r>
      <w:r w:rsidR="008438A5" w:rsidRPr="004D5F55">
        <w:rPr>
          <w:sz w:val="26"/>
          <w:szCs w:val="26"/>
        </w:rPr>
        <w:t>Metropolitan Edison Company</w:t>
      </w:r>
      <w:r w:rsidR="008438A5">
        <w:rPr>
          <w:sz w:val="26"/>
          <w:szCs w:val="26"/>
        </w:rPr>
        <w:t xml:space="preserve">, Pennsylvania Electric Company, and Pennsylvania Power Company, </w:t>
      </w:r>
      <w:r w:rsidR="00284870">
        <w:rPr>
          <w:sz w:val="26"/>
          <w:szCs w:val="26"/>
        </w:rPr>
        <w:t xml:space="preserve">the Secretary’s Bureau </w:t>
      </w:r>
      <w:r w:rsidR="004B5962">
        <w:rPr>
          <w:sz w:val="26"/>
        </w:rPr>
        <w:t>shall mark</w:t>
      </w:r>
      <w:r w:rsidR="005F43B8">
        <w:rPr>
          <w:sz w:val="26"/>
        </w:rPr>
        <w:t xml:space="preserve"> this case</w:t>
      </w:r>
      <w:r w:rsidR="004B5962">
        <w:rPr>
          <w:sz w:val="26"/>
        </w:rPr>
        <w:t xml:space="preserve"> closed.</w:t>
      </w:r>
    </w:p>
    <w:p w:rsidR="00EE5629" w:rsidRDefault="00EE5629" w:rsidP="0096733E">
      <w:pPr>
        <w:spacing w:line="360" w:lineRule="auto"/>
        <w:ind w:firstLine="1440"/>
        <w:rPr>
          <w:sz w:val="26"/>
        </w:rPr>
      </w:pPr>
    </w:p>
    <w:p w:rsidR="004C1CD2" w:rsidRPr="003C63B1" w:rsidRDefault="001A2D70" w:rsidP="004C1CD2">
      <w:pPr>
        <w:tabs>
          <w:tab w:val="left" w:pos="-720"/>
        </w:tabs>
        <w:suppressAutoHyphens/>
        <w:rPr>
          <w:sz w:val="26"/>
        </w:rPr>
      </w:pPr>
      <w:r>
        <w:rPr>
          <w:b/>
          <w:noProof/>
          <w:sz w:val="26"/>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137160</wp:posOffset>
            </wp:positionV>
            <wp:extent cx="2200275" cy="838200"/>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C1CD2" w:rsidRPr="003C63B1">
        <w:rPr>
          <w:b/>
          <w:sz w:val="26"/>
        </w:rPr>
        <w:tab/>
      </w:r>
      <w:r w:rsidR="004C1CD2" w:rsidRPr="003C63B1">
        <w:rPr>
          <w:b/>
          <w:sz w:val="26"/>
        </w:rPr>
        <w:tab/>
      </w:r>
      <w:r w:rsidR="004C1CD2" w:rsidRPr="003C63B1">
        <w:rPr>
          <w:b/>
          <w:sz w:val="26"/>
        </w:rPr>
        <w:tab/>
      </w:r>
      <w:r w:rsidR="004C1CD2" w:rsidRPr="003C63B1">
        <w:rPr>
          <w:b/>
          <w:sz w:val="26"/>
        </w:rPr>
        <w:tab/>
      </w:r>
      <w:r w:rsidR="004C1CD2" w:rsidRPr="003C63B1">
        <w:rPr>
          <w:b/>
          <w:sz w:val="26"/>
        </w:rPr>
        <w:tab/>
      </w:r>
      <w:r w:rsidR="004C1CD2" w:rsidRPr="003C63B1">
        <w:rPr>
          <w:b/>
          <w:sz w:val="26"/>
        </w:rPr>
        <w:tab/>
      </w:r>
      <w:r w:rsidR="004C1CD2" w:rsidRPr="003C63B1">
        <w:rPr>
          <w:b/>
          <w:sz w:val="26"/>
        </w:rPr>
        <w:tab/>
        <w:t>BY THE COMMISSION,</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p>
    <w:p w:rsidR="004C1CD2" w:rsidRPr="003C63B1" w:rsidRDefault="00BA6302" w:rsidP="004C1CD2">
      <w:pPr>
        <w:tabs>
          <w:tab w:val="left" w:pos="-720"/>
        </w:tabs>
        <w:suppressAutoHyphens/>
        <w:rPr>
          <w:sz w:val="26"/>
        </w:rPr>
      </w:pPr>
      <w:r>
        <w:rPr>
          <w:sz w:val="26"/>
        </w:rPr>
        <w:tab/>
      </w:r>
      <w:r>
        <w:rPr>
          <w:sz w:val="26"/>
        </w:rPr>
        <w:tab/>
      </w:r>
      <w:r>
        <w:rPr>
          <w:sz w:val="26"/>
        </w:rPr>
        <w:tab/>
      </w:r>
      <w:r>
        <w:rPr>
          <w:sz w:val="26"/>
        </w:rPr>
        <w:tab/>
      </w:r>
      <w:r>
        <w:rPr>
          <w:sz w:val="26"/>
        </w:rPr>
        <w:tab/>
      </w:r>
      <w:r>
        <w:rPr>
          <w:sz w:val="26"/>
        </w:rPr>
        <w:tab/>
      </w:r>
      <w:r>
        <w:rPr>
          <w:sz w:val="26"/>
        </w:rPr>
        <w:tab/>
      </w:r>
      <w:r w:rsidR="00C674F8">
        <w:rPr>
          <w:sz w:val="26"/>
        </w:rPr>
        <w:t>Rosemary Chiavetta</w:t>
      </w:r>
    </w:p>
    <w:p w:rsidR="004C1CD2" w:rsidRPr="003C63B1" w:rsidRDefault="004C1CD2" w:rsidP="004C1CD2">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4C1CD2" w:rsidRPr="003C63B1" w:rsidRDefault="004C1CD2" w:rsidP="004C1CD2">
      <w:pPr>
        <w:tabs>
          <w:tab w:val="left" w:pos="-720"/>
        </w:tabs>
        <w:suppressAutoHyphens/>
        <w:rPr>
          <w:sz w:val="26"/>
        </w:rPr>
      </w:pPr>
    </w:p>
    <w:p w:rsidR="004C1CD2" w:rsidRPr="003C63B1" w:rsidRDefault="004C1CD2" w:rsidP="004C1CD2">
      <w:pPr>
        <w:tabs>
          <w:tab w:val="left" w:pos="-720"/>
        </w:tabs>
        <w:suppressAutoHyphens/>
        <w:rPr>
          <w:sz w:val="26"/>
        </w:rPr>
      </w:pPr>
      <w:r w:rsidRPr="003C63B1">
        <w:rPr>
          <w:sz w:val="26"/>
        </w:rPr>
        <w:t>(SEAL)</w:t>
      </w:r>
    </w:p>
    <w:p w:rsidR="004C1CD2" w:rsidRPr="003C63B1" w:rsidRDefault="004C1CD2" w:rsidP="004C1CD2">
      <w:pPr>
        <w:tabs>
          <w:tab w:val="left" w:pos="-720"/>
        </w:tabs>
        <w:suppressAutoHyphens/>
        <w:rPr>
          <w:sz w:val="26"/>
        </w:rPr>
      </w:pPr>
    </w:p>
    <w:p w:rsidR="004C1CD2" w:rsidRPr="003C63B1" w:rsidRDefault="00710770" w:rsidP="004C1CD2">
      <w:pPr>
        <w:tabs>
          <w:tab w:val="left" w:pos="-720"/>
        </w:tabs>
        <w:suppressAutoHyphens/>
        <w:rPr>
          <w:sz w:val="26"/>
        </w:rPr>
      </w:pPr>
      <w:r>
        <w:rPr>
          <w:sz w:val="26"/>
        </w:rPr>
        <w:t>OR</w:t>
      </w:r>
      <w:r w:rsidR="004B5962">
        <w:rPr>
          <w:sz w:val="26"/>
        </w:rPr>
        <w:t>DER ADOPTED:  April 15</w:t>
      </w:r>
      <w:r w:rsidR="002B5FFC">
        <w:rPr>
          <w:sz w:val="26"/>
        </w:rPr>
        <w:t>, 2010</w:t>
      </w:r>
    </w:p>
    <w:p w:rsidR="004C1CD2" w:rsidRPr="003C63B1" w:rsidRDefault="004C1CD2" w:rsidP="004C1CD2">
      <w:pPr>
        <w:tabs>
          <w:tab w:val="left" w:pos="-720"/>
        </w:tabs>
        <w:suppressAutoHyphens/>
        <w:rPr>
          <w:sz w:val="26"/>
        </w:rPr>
      </w:pPr>
    </w:p>
    <w:p w:rsidR="004C1CD2" w:rsidRPr="001A2D70" w:rsidRDefault="004C1CD2" w:rsidP="004C1CD2">
      <w:pPr>
        <w:tabs>
          <w:tab w:val="left" w:pos="-720"/>
        </w:tabs>
        <w:suppressAutoHyphens/>
        <w:rPr>
          <w:b/>
          <w:sz w:val="26"/>
        </w:rPr>
      </w:pPr>
      <w:r w:rsidRPr="003C63B1">
        <w:rPr>
          <w:sz w:val="26"/>
        </w:rPr>
        <w:t xml:space="preserve">ORDER ENTERED: </w:t>
      </w:r>
      <w:r w:rsidR="00710770">
        <w:rPr>
          <w:sz w:val="26"/>
        </w:rPr>
        <w:t xml:space="preserve">  </w:t>
      </w:r>
      <w:r w:rsidR="001A2D70" w:rsidRPr="001A2D70">
        <w:rPr>
          <w:b/>
          <w:sz w:val="26"/>
        </w:rPr>
        <w:t>June 9, 2010</w:t>
      </w:r>
    </w:p>
    <w:p w:rsidR="009A077C" w:rsidRPr="00DB1424" w:rsidRDefault="009A077C" w:rsidP="009A077C">
      <w:pPr>
        <w:spacing w:line="360" w:lineRule="auto"/>
        <w:rPr>
          <w:sz w:val="26"/>
          <w:szCs w:val="26"/>
        </w:rPr>
      </w:pPr>
    </w:p>
    <w:sectPr w:rsidR="009A077C" w:rsidRPr="00DB1424" w:rsidSect="00805EB4">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758" w:rsidRDefault="00E86758" w:rsidP="008F250B">
      <w:r>
        <w:separator/>
      </w:r>
    </w:p>
  </w:endnote>
  <w:endnote w:type="continuationSeparator" w:id="0">
    <w:p w:rsidR="00E86758" w:rsidRDefault="00E86758"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A00002EF" w:usb1="4000207B" w:usb2="00000000" w:usb3="00000000" w:csb0="0000009F" w:csb1="00000000"/>
  </w:font>
  <w:font w:name="Tahoma">
    <w:altName w:val="?l?r ??????????????????????????"/>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New (W1)">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9266"/>
      <w:docPartObj>
        <w:docPartGallery w:val="Page Numbers (Bottom of Page)"/>
        <w:docPartUnique/>
      </w:docPartObj>
    </w:sdtPr>
    <w:sdtContent>
      <w:p w:rsidR="001A2D70" w:rsidRDefault="001A2D70">
        <w:pPr>
          <w:pStyle w:val="Footer"/>
          <w:jc w:val="center"/>
        </w:pPr>
        <w:fldSimple w:instr=" PAGE   \* MERGEFORMAT ">
          <w:r w:rsidR="000E2DEE">
            <w:rPr>
              <w:noProof/>
            </w:rPr>
            <w:t>57</w:t>
          </w:r>
        </w:fldSimple>
      </w:p>
    </w:sdtContent>
  </w:sdt>
  <w:p w:rsidR="001A2D70" w:rsidRDefault="001A2D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1A2D70" w:rsidRDefault="001A2D70">
        <w:pPr>
          <w:pStyle w:val="Footer"/>
          <w:jc w:val="center"/>
        </w:pPr>
        <w:fldSimple w:instr=" PAGE   \* MERGEFORMAT ">
          <w:r>
            <w:rPr>
              <w:noProof/>
            </w:rPr>
            <w:t>1</w:t>
          </w:r>
        </w:fldSimple>
      </w:p>
    </w:sdtContent>
  </w:sdt>
  <w:p w:rsidR="001A2D70" w:rsidRDefault="001A2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758" w:rsidRDefault="00E86758" w:rsidP="008F250B">
      <w:r>
        <w:separator/>
      </w:r>
    </w:p>
  </w:footnote>
  <w:footnote w:type="continuationSeparator" w:id="0">
    <w:p w:rsidR="00E86758" w:rsidRDefault="00E86758" w:rsidP="008F250B">
      <w:r>
        <w:continuationSeparator/>
      </w:r>
    </w:p>
  </w:footnote>
  <w:footnote w:id="1">
    <w:p w:rsidR="001A2D70" w:rsidRPr="00C97AD4" w:rsidRDefault="001A2D70" w:rsidP="00C97AD4">
      <w:pPr>
        <w:pStyle w:val="FootnoteText"/>
        <w:ind w:firstLine="720"/>
        <w:rPr>
          <w:sz w:val="26"/>
          <w:szCs w:val="26"/>
        </w:rPr>
      </w:pPr>
      <w:r w:rsidRPr="00C97AD4">
        <w:rPr>
          <w:rStyle w:val="FootnoteReference"/>
          <w:sz w:val="26"/>
          <w:szCs w:val="26"/>
        </w:rPr>
        <w:footnoteRef/>
      </w:r>
      <w:r w:rsidRPr="00C97AD4">
        <w:rPr>
          <w:sz w:val="26"/>
          <w:szCs w:val="26"/>
        </w:rPr>
        <w:t xml:space="preserve"> </w:t>
      </w:r>
      <w:r w:rsidRPr="00C97AD4">
        <w:rPr>
          <w:sz w:val="26"/>
          <w:szCs w:val="26"/>
        </w:rPr>
        <w:tab/>
        <w:t>This includes a hypothetical capital structure if one is used in place of an actual capital structure in the disposition of the rate case.</w:t>
      </w:r>
    </w:p>
  </w:footnote>
  <w:footnote w:id="2">
    <w:p w:rsidR="001A2D70" w:rsidRPr="001F0D21" w:rsidRDefault="001A2D70">
      <w:pPr>
        <w:pStyle w:val="FootnoteText"/>
        <w:rPr>
          <w:sz w:val="26"/>
          <w:szCs w:val="26"/>
        </w:rPr>
      </w:pPr>
      <w:r w:rsidRPr="001F0D21">
        <w:rPr>
          <w:sz w:val="26"/>
          <w:szCs w:val="26"/>
        </w:rPr>
        <w:tab/>
      </w:r>
      <w:r w:rsidRPr="001F0D21">
        <w:rPr>
          <w:rStyle w:val="FootnoteReference"/>
          <w:sz w:val="26"/>
          <w:szCs w:val="26"/>
        </w:rPr>
        <w:footnoteRef/>
      </w:r>
      <w:r w:rsidRPr="001F0D21">
        <w:rPr>
          <w:sz w:val="26"/>
          <w:szCs w:val="26"/>
        </w:rPr>
        <w:t xml:space="preserve"> </w:t>
      </w:r>
      <w:r w:rsidRPr="001F0D21">
        <w:rPr>
          <w:sz w:val="26"/>
          <w:szCs w:val="26"/>
        </w:rPr>
        <w:tab/>
        <w:t>We not</w:t>
      </w:r>
      <w:r>
        <w:rPr>
          <w:sz w:val="26"/>
          <w:szCs w:val="26"/>
        </w:rPr>
        <w:t>e that prior</w:t>
      </w:r>
      <w:r w:rsidRPr="001F0D21">
        <w:rPr>
          <w:sz w:val="26"/>
          <w:szCs w:val="26"/>
        </w:rPr>
        <w:t xml:space="preserve"> Quarterly Earnings Reports did </w:t>
      </w:r>
      <w:r>
        <w:rPr>
          <w:sz w:val="26"/>
          <w:szCs w:val="26"/>
        </w:rPr>
        <w:t>not include certain data discussed in this Opinion and Order, including the actual capital structure of the Companies.  Consistent with this Opinion and Order, this information will be included in the Quarterly Earnings Report b</w:t>
      </w:r>
      <w:r w:rsidRPr="001F0D21">
        <w:rPr>
          <w:sz w:val="26"/>
          <w:szCs w:val="26"/>
        </w:rPr>
        <w:t xml:space="preserve">eginning with the report for the period ending </w:t>
      </w:r>
      <w:r>
        <w:rPr>
          <w:sz w:val="26"/>
          <w:szCs w:val="26"/>
        </w:rPr>
        <w:t>December 31, 2009.</w:t>
      </w:r>
      <w:r w:rsidRPr="001F0D21">
        <w:rPr>
          <w:sz w:val="26"/>
          <w:szCs w:val="26"/>
        </w:rPr>
        <w:t xml:space="preserve">  </w:t>
      </w:r>
    </w:p>
  </w:footnote>
  <w:footnote w:id="3">
    <w:p w:rsidR="001A2D70" w:rsidRPr="00F314D1" w:rsidRDefault="001A2D70" w:rsidP="00AD32A2">
      <w:pPr>
        <w:pStyle w:val="FootnoteText"/>
        <w:rPr>
          <w:sz w:val="26"/>
          <w:szCs w:val="26"/>
        </w:rPr>
      </w:pPr>
      <w:r w:rsidRPr="00F314D1">
        <w:rPr>
          <w:sz w:val="26"/>
          <w:szCs w:val="26"/>
        </w:rPr>
        <w:tab/>
      </w:r>
      <w:r w:rsidRPr="00F314D1">
        <w:rPr>
          <w:rStyle w:val="FootnoteReference"/>
          <w:sz w:val="26"/>
          <w:szCs w:val="26"/>
        </w:rPr>
        <w:footnoteRef/>
      </w:r>
      <w:r w:rsidRPr="00F314D1">
        <w:rPr>
          <w:sz w:val="26"/>
          <w:szCs w:val="26"/>
        </w:rPr>
        <w:t xml:space="preserve"> </w:t>
      </w:r>
      <w:r w:rsidRPr="00F314D1">
        <w:rPr>
          <w:sz w:val="26"/>
          <w:szCs w:val="26"/>
        </w:rPr>
        <w:tab/>
        <w:t>The zone of reasonableness is defined by the capital structures of the electric barometer group in</w:t>
      </w:r>
      <w:r>
        <w:rPr>
          <w:sz w:val="26"/>
          <w:szCs w:val="26"/>
        </w:rPr>
        <w:t>cluded in</w:t>
      </w:r>
      <w:r w:rsidRPr="00F314D1">
        <w:rPr>
          <w:sz w:val="26"/>
          <w:szCs w:val="26"/>
        </w:rPr>
        <w:t xml:space="preserve"> the </w:t>
      </w:r>
      <w:r>
        <w:rPr>
          <w:sz w:val="26"/>
          <w:szCs w:val="26"/>
        </w:rPr>
        <w:t xml:space="preserve">then most recent </w:t>
      </w:r>
      <w:r w:rsidRPr="00F314D1">
        <w:rPr>
          <w:sz w:val="26"/>
          <w:szCs w:val="26"/>
        </w:rPr>
        <w:t>Quar</w:t>
      </w:r>
      <w:r>
        <w:rPr>
          <w:sz w:val="26"/>
          <w:szCs w:val="26"/>
        </w:rPr>
        <w:t>terly Earnings Report.</w:t>
      </w:r>
    </w:p>
  </w:footnote>
  <w:footnote w:id="4">
    <w:p w:rsidR="001A2D70" w:rsidRPr="004866F7" w:rsidRDefault="001A2D70" w:rsidP="004866F7">
      <w:pPr>
        <w:ind w:firstLine="720"/>
        <w:rPr>
          <w:sz w:val="26"/>
          <w:szCs w:val="26"/>
        </w:rPr>
      </w:pPr>
      <w:r w:rsidRPr="004866F7">
        <w:rPr>
          <w:rStyle w:val="FootnoteReference"/>
          <w:sz w:val="26"/>
          <w:szCs w:val="26"/>
        </w:rPr>
        <w:footnoteRef/>
      </w:r>
      <w:r w:rsidRPr="004866F7">
        <w:rPr>
          <w:sz w:val="26"/>
          <w:szCs w:val="26"/>
        </w:rPr>
        <w:t xml:space="preserve"> </w:t>
      </w:r>
      <w:r w:rsidRPr="004866F7">
        <w:rPr>
          <w:sz w:val="26"/>
          <w:szCs w:val="26"/>
        </w:rPr>
        <w:tab/>
        <w:t xml:space="preserve">Since all of the Companies have a litigated ROE that is more than three years old, the Quarterly ROEs shall be used for all three Companies until the next base rate case is concluded. </w:t>
      </w:r>
    </w:p>
    <w:p w:rsidR="001A2D70" w:rsidRDefault="001A2D7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70" w:rsidRDefault="001A2D70">
    <w:pPr>
      <w:pStyle w:val="Header"/>
      <w:jc w:val="center"/>
    </w:pPr>
  </w:p>
  <w:p w:rsidR="001A2D70" w:rsidRDefault="001A2D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BC1"/>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462019"/>
    <w:multiLevelType w:val="hybridMultilevel"/>
    <w:tmpl w:val="4CE4498A"/>
    <w:lvl w:ilvl="0" w:tplc="FD0445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F846DE"/>
    <w:multiLevelType w:val="hybridMultilevel"/>
    <w:tmpl w:val="9FE0E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B969BE"/>
    <w:multiLevelType w:val="hybridMultilevel"/>
    <w:tmpl w:val="DCAEA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DC3A5C"/>
    <w:multiLevelType w:val="hybridMultilevel"/>
    <w:tmpl w:val="4E4AD8B2"/>
    <w:lvl w:ilvl="0" w:tplc="E2DEE8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70136D3"/>
    <w:multiLevelType w:val="hybridMultilevel"/>
    <w:tmpl w:val="581EFDA0"/>
    <w:lvl w:ilvl="0" w:tplc="28580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EF5211"/>
    <w:multiLevelType w:val="multilevel"/>
    <w:tmpl w:val="955423B0"/>
    <w:name w:val="zzmpStandard||Standard|2|3|1|1|4|0||1|4|1||1|4|1||1|4|1||1|4|0||1|4|0||1|4|0||1|4|0||1|4|0||"/>
    <w:lvl w:ilvl="0">
      <w:start w:val="1"/>
      <w:numFmt w:val="decimal"/>
      <w:pStyle w:val="StandardL1"/>
      <w:lvlText w:val="%1."/>
      <w:lvlJc w:val="left"/>
      <w:pPr>
        <w:tabs>
          <w:tab w:val="num" w:pos="720"/>
        </w:tabs>
        <w:ind w:left="-720" w:firstLine="720"/>
      </w:pPr>
      <w:rPr>
        <w:rFonts w:ascii="Times New Roman" w:hAnsi="Times New Roman" w:cs="Times New Roman"/>
        <w:b w:val="0"/>
        <w:i w:val="0"/>
        <w:caps w:val="0"/>
        <w:sz w:val="24"/>
        <w:u w:val="none"/>
      </w:rPr>
    </w:lvl>
    <w:lvl w:ilvl="1">
      <w:start w:val="1"/>
      <w:numFmt w:val="lowerLetter"/>
      <w:pStyle w:val="StandardL2"/>
      <w:lvlText w:val="(%2)"/>
      <w:lvlJc w:val="left"/>
      <w:pPr>
        <w:tabs>
          <w:tab w:val="num" w:pos="720"/>
        </w:tabs>
        <w:ind w:left="-72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1440"/>
        </w:tabs>
        <w:ind w:left="-72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160"/>
        </w:tabs>
        <w:ind w:left="-72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2880"/>
        </w:tabs>
        <w:ind w:left="-72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3600"/>
        </w:tabs>
        <w:ind w:left="-72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4320"/>
        </w:tabs>
        <w:ind w:left="-72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040"/>
        </w:tabs>
        <w:ind w:left="-72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5760"/>
        </w:tabs>
        <w:ind w:left="-720" w:firstLine="5760"/>
      </w:pPr>
      <w:rPr>
        <w:rFonts w:ascii="Times New Roman" w:hAnsi="Times New Roman" w:cs="Times New Roman"/>
        <w:b w:val="0"/>
        <w:i w:val="0"/>
        <w:caps w:val="0"/>
        <w:sz w:val="24"/>
        <w:u w:val="none"/>
      </w:rPr>
    </w:lvl>
  </w:abstractNum>
  <w:abstractNum w:abstractNumId="7">
    <w:nsid w:val="242E2647"/>
    <w:multiLevelType w:val="hybridMultilevel"/>
    <w:tmpl w:val="76D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3C7C65"/>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642798D"/>
    <w:multiLevelType w:val="hybridMultilevel"/>
    <w:tmpl w:val="D26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11">
    <w:nsid w:val="2E540004"/>
    <w:multiLevelType w:val="hybridMultilevel"/>
    <w:tmpl w:val="4CB08930"/>
    <w:lvl w:ilvl="0" w:tplc="C2E46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51658DA"/>
    <w:multiLevelType w:val="hybridMultilevel"/>
    <w:tmpl w:val="CB9A9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F94DB5"/>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380C5EF2"/>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B4213"/>
    <w:multiLevelType w:val="hybridMultilevel"/>
    <w:tmpl w:val="560A2EFA"/>
    <w:lvl w:ilvl="0" w:tplc="BDA88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7DA1F16"/>
    <w:multiLevelType w:val="hybridMultilevel"/>
    <w:tmpl w:val="AEAEE65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5AC86A0B"/>
    <w:multiLevelType w:val="hybridMultilevel"/>
    <w:tmpl w:val="15C8F870"/>
    <w:lvl w:ilvl="0" w:tplc="6F4AE6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C7E6092"/>
    <w:multiLevelType w:val="hybridMultilevel"/>
    <w:tmpl w:val="D8D4EBF6"/>
    <w:lvl w:ilvl="0" w:tplc="B06000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6E975B4C"/>
    <w:multiLevelType w:val="hybridMultilevel"/>
    <w:tmpl w:val="8BF22D6E"/>
    <w:lvl w:ilvl="0" w:tplc="0409000F">
      <w:start w:val="1"/>
      <w:numFmt w:val="decimal"/>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F0D57"/>
    <w:multiLevelType w:val="hybridMultilevel"/>
    <w:tmpl w:val="C91268B4"/>
    <w:lvl w:ilvl="0" w:tplc="4A644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66E3603"/>
    <w:multiLevelType w:val="hybridMultilevel"/>
    <w:tmpl w:val="AE0A24E0"/>
    <w:lvl w:ilvl="0" w:tplc="5C3854E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C9B26E7"/>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15"/>
  </w:num>
  <w:num w:numId="3">
    <w:abstractNumId w:val="4"/>
  </w:num>
  <w:num w:numId="4">
    <w:abstractNumId w:val="16"/>
  </w:num>
  <w:num w:numId="5">
    <w:abstractNumId w:val="14"/>
  </w:num>
  <w:num w:numId="6">
    <w:abstractNumId w:val="13"/>
  </w:num>
  <w:num w:numId="7">
    <w:abstractNumId w:val="10"/>
  </w:num>
  <w:num w:numId="8">
    <w:abstractNumId w:val="7"/>
  </w:num>
  <w:num w:numId="9">
    <w:abstractNumId w:val="12"/>
  </w:num>
  <w:num w:numId="10">
    <w:abstractNumId w:val="3"/>
  </w:num>
  <w:num w:numId="11">
    <w:abstractNumId w:val="9"/>
  </w:num>
  <w:num w:numId="12">
    <w:abstractNumId w:val="19"/>
  </w:num>
  <w:num w:numId="13">
    <w:abstractNumId w:val="1"/>
  </w:num>
  <w:num w:numId="14">
    <w:abstractNumId w:val="11"/>
  </w:num>
  <w:num w:numId="15">
    <w:abstractNumId w:val="5"/>
  </w:num>
  <w:num w:numId="16">
    <w:abstractNumId w:val="0"/>
  </w:num>
  <w:num w:numId="17">
    <w:abstractNumId w:val="22"/>
  </w:num>
  <w:num w:numId="18">
    <w:abstractNumId w:val="23"/>
  </w:num>
  <w:num w:numId="19">
    <w:abstractNumId w:val="18"/>
  </w:num>
  <w:num w:numId="20">
    <w:abstractNumId w:val="24"/>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1730"/>
  </w:hdrShapeDefaults>
  <w:footnotePr>
    <w:footnote w:id="-1"/>
    <w:footnote w:id="0"/>
  </w:footnotePr>
  <w:endnotePr>
    <w:endnote w:id="-1"/>
    <w:endnote w:id="0"/>
  </w:endnotePr>
  <w:compat/>
  <w:rsids>
    <w:rsidRoot w:val="00F461A6"/>
    <w:rsid w:val="000004A8"/>
    <w:rsid w:val="00000D10"/>
    <w:rsid w:val="000017DE"/>
    <w:rsid w:val="00003887"/>
    <w:rsid w:val="00004E31"/>
    <w:rsid w:val="000050A5"/>
    <w:rsid w:val="0000701D"/>
    <w:rsid w:val="00007355"/>
    <w:rsid w:val="00010B60"/>
    <w:rsid w:val="00010C5A"/>
    <w:rsid w:val="00010DC0"/>
    <w:rsid w:val="00010E15"/>
    <w:rsid w:val="00010EC3"/>
    <w:rsid w:val="00011080"/>
    <w:rsid w:val="00011146"/>
    <w:rsid w:val="00012624"/>
    <w:rsid w:val="0001265B"/>
    <w:rsid w:val="00013409"/>
    <w:rsid w:val="00013762"/>
    <w:rsid w:val="00013A71"/>
    <w:rsid w:val="00014AC1"/>
    <w:rsid w:val="00014AC5"/>
    <w:rsid w:val="00014C80"/>
    <w:rsid w:val="00015A11"/>
    <w:rsid w:val="00016010"/>
    <w:rsid w:val="00016B13"/>
    <w:rsid w:val="000173A1"/>
    <w:rsid w:val="00017503"/>
    <w:rsid w:val="000177C2"/>
    <w:rsid w:val="000177E9"/>
    <w:rsid w:val="00017811"/>
    <w:rsid w:val="00017852"/>
    <w:rsid w:val="00017FE8"/>
    <w:rsid w:val="00020830"/>
    <w:rsid w:val="00020D1E"/>
    <w:rsid w:val="00020EE2"/>
    <w:rsid w:val="000212DB"/>
    <w:rsid w:val="00021493"/>
    <w:rsid w:val="0002216B"/>
    <w:rsid w:val="00022398"/>
    <w:rsid w:val="000227CD"/>
    <w:rsid w:val="00022AE1"/>
    <w:rsid w:val="00022B74"/>
    <w:rsid w:val="00022C4F"/>
    <w:rsid w:val="00023ACB"/>
    <w:rsid w:val="00023B41"/>
    <w:rsid w:val="00023BD3"/>
    <w:rsid w:val="00023DA7"/>
    <w:rsid w:val="00024038"/>
    <w:rsid w:val="000249DC"/>
    <w:rsid w:val="00024E3E"/>
    <w:rsid w:val="0002512C"/>
    <w:rsid w:val="00025AC4"/>
    <w:rsid w:val="00025AE3"/>
    <w:rsid w:val="00026207"/>
    <w:rsid w:val="000262F4"/>
    <w:rsid w:val="00026612"/>
    <w:rsid w:val="000269EE"/>
    <w:rsid w:val="00026C07"/>
    <w:rsid w:val="00030DCE"/>
    <w:rsid w:val="00031345"/>
    <w:rsid w:val="0003176C"/>
    <w:rsid w:val="000329C2"/>
    <w:rsid w:val="00033054"/>
    <w:rsid w:val="0003351A"/>
    <w:rsid w:val="00033853"/>
    <w:rsid w:val="00034FFB"/>
    <w:rsid w:val="0003530B"/>
    <w:rsid w:val="00035848"/>
    <w:rsid w:val="00036BE5"/>
    <w:rsid w:val="0003731E"/>
    <w:rsid w:val="000374AC"/>
    <w:rsid w:val="00037F84"/>
    <w:rsid w:val="000403DD"/>
    <w:rsid w:val="000413C2"/>
    <w:rsid w:val="000414C0"/>
    <w:rsid w:val="000421FE"/>
    <w:rsid w:val="00042754"/>
    <w:rsid w:val="0004330A"/>
    <w:rsid w:val="00043FE9"/>
    <w:rsid w:val="00046B4F"/>
    <w:rsid w:val="00047236"/>
    <w:rsid w:val="00047304"/>
    <w:rsid w:val="0004734D"/>
    <w:rsid w:val="00047404"/>
    <w:rsid w:val="00047F4A"/>
    <w:rsid w:val="00050437"/>
    <w:rsid w:val="00050A52"/>
    <w:rsid w:val="0005126E"/>
    <w:rsid w:val="000518D3"/>
    <w:rsid w:val="00051AC5"/>
    <w:rsid w:val="00051C07"/>
    <w:rsid w:val="00051DBA"/>
    <w:rsid w:val="000529B2"/>
    <w:rsid w:val="000536EF"/>
    <w:rsid w:val="00054612"/>
    <w:rsid w:val="000547D7"/>
    <w:rsid w:val="00054827"/>
    <w:rsid w:val="0005510D"/>
    <w:rsid w:val="000552F7"/>
    <w:rsid w:val="0005549C"/>
    <w:rsid w:val="0005598E"/>
    <w:rsid w:val="00055F69"/>
    <w:rsid w:val="00056286"/>
    <w:rsid w:val="00056446"/>
    <w:rsid w:val="0005685C"/>
    <w:rsid w:val="000576A7"/>
    <w:rsid w:val="0006218F"/>
    <w:rsid w:val="0006266B"/>
    <w:rsid w:val="000626FD"/>
    <w:rsid w:val="000649EC"/>
    <w:rsid w:val="00065045"/>
    <w:rsid w:val="000656BA"/>
    <w:rsid w:val="00066031"/>
    <w:rsid w:val="000662FC"/>
    <w:rsid w:val="00066C7D"/>
    <w:rsid w:val="00066DC8"/>
    <w:rsid w:val="00066FA5"/>
    <w:rsid w:val="00067981"/>
    <w:rsid w:val="00067E2F"/>
    <w:rsid w:val="00070DBA"/>
    <w:rsid w:val="00072274"/>
    <w:rsid w:val="0007290E"/>
    <w:rsid w:val="00073201"/>
    <w:rsid w:val="000735F8"/>
    <w:rsid w:val="00073FA7"/>
    <w:rsid w:val="000742B8"/>
    <w:rsid w:val="0007482E"/>
    <w:rsid w:val="0007487A"/>
    <w:rsid w:val="000750D0"/>
    <w:rsid w:val="00075E35"/>
    <w:rsid w:val="00076F15"/>
    <w:rsid w:val="00080100"/>
    <w:rsid w:val="000801AA"/>
    <w:rsid w:val="00080404"/>
    <w:rsid w:val="000806C8"/>
    <w:rsid w:val="000807C4"/>
    <w:rsid w:val="000807C6"/>
    <w:rsid w:val="00080CF1"/>
    <w:rsid w:val="000819B2"/>
    <w:rsid w:val="000832C9"/>
    <w:rsid w:val="0008373F"/>
    <w:rsid w:val="00083F65"/>
    <w:rsid w:val="000843A7"/>
    <w:rsid w:val="0008467D"/>
    <w:rsid w:val="000854A4"/>
    <w:rsid w:val="00085623"/>
    <w:rsid w:val="00085DD9"/>
    <w:rsid w:val="000865FB"/>
    <w:rsid w:val="000867F2"/>
    <w:rsid w:val="00086ABF"/>
    <w:rsid w:val="00086B1A"/>
    <w:rsid w:val="000906BB"/>
    <w:rsid w:val="000906DC"/>
    <w:rsid w:val="00090996"/>
    <w:rsid w:val="00090B35"/>
    <w:rsid w:val="00091D10"/>
    <w:rsid w:val="000924A7"/>
    <w:rsid w:val="00092E58"/>
    <w:rsid w:val="00093640"/>
    <w:rsid w:val="000939BC"/>
    <w:rsid w:val="000940D5"/>
    <w:rsid w:val="00094E89"/>
    <w:rsid w:val="00094FA2"/>
    <w:rsid w:val="00095BB7"/>
    <w:rsid w:val="00095C0E"/>
    <w:rsid w:val="00095DB7"/>
    <w:rsid w:val="00095EC9"/>
    <w:rsid w:val="000966B5"/>
    <w:rsid w:val="00096E5E"/>
    <w:rsid w:val="00097504"/>
    <w:rsid w:val="000A081C"/>
    <w:rsid w:val="000A1B06"/>
    <w:rsid w:val="000A1EA0"/>
    <w:rsid w:val="000A1EAC"/>
    <w:rsid w:val="000A1F3E"/>
    <w:rsid w:val="000A365D"/>
    <w:rsid w:val="000A3BBC"/>
    <w:rsid w:val="000A3E2D"/>
    <w:rsid w:val="000A43FA"/>
    <w:rsid w:val="000A4527"/>
    <w:rsid w:val="000A4AD2"/>
    <w:rsid w:val="000A4D51"/>
    <w:rsid w:val="000A6B98"/>
    <w:rsid w:val="000A6E82"/>
    <w:rsid w:val="000A78C9"/>
    <w:rsid w:val="000A78D1"/>
    <w:rsid w:val="000B056B"/>
    <w:rsid w:val="000B1D68"/>
    <w:rsid w:val="000B2067"/>
    <w:rsid w:val="000B216D"/>
    <w:rsid w:val="000B27CC"/>
    <w:rsid w:val="000B4D2E"/>
    <w:rsid w:val="000B4EAE"/>
    <w:rsid w:val="000B5724"/>
    <w:rsid w:val="000B6B15"/>
    <w:rsid w:val="000B6DA3"/>
    <w:rsid w:val="000B70B7"/>
    <w:rsid w:val="000B768B"/>
    <w:rsid w:val="000B7C04"/>
    <w:rsid w:val="000B7CF5"/>
    <w:rsid w:val="000C072F"/>
    <w:rsid w:val="000C1912"/>
    <w:rsid w:val="000C25D6"/>
    <w:rsid w:val="000C2AE3"/>
    <w:rsid w:val="000C2B21"/>
    <w:rsid w:val="000C2D45"/>
    <w:rsid w:val="000C35C3"/>
    <w:rsid w:val="000C3662"/>
    <w:rsid w:val="000C3BAB"/>
    <w:rsid w:val="000C3D32"/>
    <w:rsid w:val="000C414C"/>
    <w:rsid w:val="000C445D"/>
    <w:rsid w:val="000C45E8"/>
    <w:rsid w:val="000C5027"/>
    <w:rsid w:val="000C5F9E"/>
    <w:rsid w:val="000C68E9"/>
    <w:rsid w:val="000C6C08"/>
    <w:rsid w:val="000C76E0"/>
    <w:rsid w:val="000C7F3A"/>
    <w:rsid w:val="000D029C"/>
    <w:rsid w:val="000D07C7"/>
    <w:rsid w:val="000D1340"/>
    <w:rsid w:val="000D18F4"/>
    <w:rsid w:val="000D2A7B"/>
    <w:rsid w:val="000D3381"/>
    <w:rsid w:val="000D3661"/>
    <w:rsid w:val="000D3C26"/>
    <w:rsid w:val="000D3EA4"/>
    <w:rsid w:val="000D470A"/>
    <w:rsid w:val="000D6CE7"/>
    <w:rsid w:val="000D721A"/>
    <w:rsid w:val="000D77C0"/>
    <w:rsid w:val="000E03BB"/>
    <w:rsid w:val="000E0E2E"/>
    <w:rsid w:val="000E0F94"/>
    <w:rsid w:val="000E1F38"/>
    <w:rsid w:val="000E21DC"/>
    <w:rsid w:val="000E2A28"/>
    <w:rsid w:val="000E2DEE"/>
    <w:rsid w:val="000E396E"/>
    <w:rsid w:val="000E42EE"/>
    <w:rsid w:val="000E47DB"/>
    <w:rsid w:val="000E4EBD"/>
    <w:rsid w:val="000E7035"/>
    <w:rsid w:val="000E751F"/>
    <w:rsid w:val="000E7553"/>
    <w:rsid w:val="000F07E5"/>
    <w:rsid w:val="000F0964"/>
    <w:rsid w:val="000F1824"/>
    <w:rsid w:val="000F18AD"/>
    <w:rsid w:val="000F1DCE"/>
    <w:rsid w:val="000F23EE"/>
    <w:rsid w:val="000F241E"/>
    <w:rsid w:val="000F2BBB"/>
    <w:rsid w:val="000F3524"/>
    <w:rsid w:val="000F383E"/>
    <w:rsid w:val="000F38E1"/>
    <w:rsid w:val="000F3914"/>
    <w:rsid w:val="000F477C"/>
    <w:rsid w:val="000F4EEF"/>
    <w:rsid w:val="000F5494"/>
    <w:rsid w:val="000F6027"/>
    <w:rsid w:val="000F6694"/>
    <w:rsid w:val="000F671F"/>
    <w:rsid w:val="000F74FF"/>
    <w:rsid w:val="000F79BB"/>
    <w:rsid w:val="000F7A89"/>
    <w:rsid w:val="000F7B03"/>
    <w:rsid w:val="000F7C17"/>
    <w:rsid w:val="001009CD"/>
    <w:rsid w:val="00100D31"/>
    <w:rsid w:val="00101601"/>
    <w:rsid w:val="00101667"/>
    <w:rsid w:val="00101CB3"/>
    <w:rsid w:val="001027A3"/>
    <w:rsid w:val="00102C85"/>
    <w:rsid w:val="00102EC4"/>
    <w:rsid w:val="001034C6"/>
    <w:rsid w:val="00104243"/>
    <w:rsid w:val="001048C1"/>
    <w:rsid w:val="00106D89"/>
    <w:rsid w:val="00107041"/>
    <w:rsid w:val="0011041F"/>
    <w:rsid w:val="0011069B"/>
    <w:rsid w:val="001106E8"/>
    <w:rsid w:val="00110701"/>
    <w:rsid w:val="0011138C"/>
    <w:rsid w:val="00111E76"/>
    <w:rsid w:val="00112041"/>
    <w:rsid w:val="00112BA4"/>
    <w:rsid w:val="00114212"/>
    <w:rsid w:val="0011561B"/>
    <w:rsid w:val="0011598A"/>
    <w:rsid w:val="00115E51"/>
    <w:rsid w:val="001164F4"/>
    <w:rsid w:val="00116532"/>
    <w:rsid w:val="00116781"/>
    <w:rsid w:val="001167B2"/>
    <w:rsid w:val="00117229"/>
    <w:rsid w:val="00117C62"/>
    <w:rsid w:val="00117CB2"/>
    <w:rsid w:val="001207D5"/>
    <w:rsid w:val="00122B42"/>
    <w:rsid w:val="00122D19"/>
    <w:rsid w:val="00123455"/>
    <w:rsid w:val="001235AD"/>
    <w:rsid w:val="0012383B"/>
    <w:rsid w:val="00123A3F"/>
    <w:rsid w:val="00123CA9"/>
    <w:rsid w:val="00124980"/>
    <w:rsid w:val="00124A2D"/>
    <w:rsid w:val="001258F4"/>
    <w:rsid w:val="001261A8"/>
    <w:rsid w:val="001267D4"/>
    <w:rsid w:val="00126B65"/>
    <w:rsid w:val="00126F03"/>
    <w:rsid w:val="00126F43"/>
    <w:rsid w:val="0012745A"/>
    <w:rsid w:val="00127636"/>
    <w:rsid w:val="001306AD"/>
    <w:rsid w:val="00131C9F"/>
    <w:rsid w:val="00131E29"/>
    <w:rsid w:val="00132400"/>
    <w:rsid w:val="001338DE"/>
    <w:rsid w:val="00134EB9"/>
    <w:rsid w:val="001360FC"/>
    <w:rsid w:val="001362F3"/>
    <w:rsid w:val="00136D6F"/>
    <w:rsid w:val="00137D20"/>
    <w:rsid w:val="00137EDF"/>
    <w:rsid w:val="001416F8"/>
    <w:rsid w:val="00141751"/>
    <w:rsid w:val="001417C3"/>
    <w:rsid w:val="00142B4B"/>
    <w:rsid w:val="00143341"/>
    <w:rsid w:val="001435FD"/>
    <w:rsid w:val="0014375D"/>
    <w:rsid w:val="00143A76"/>
    <w:rsid w:val="00143E8B"/>
    <w:rsid w:val="0014401E"/>
    <w:rsid w:val="001441F7"/>
    <w:rsid w:val="0014426C"/>
    <w:rsid w:val="00144341"/>
    <w:rsid w:val="001444C6"/>
    <w:rsid w:val="00146E86"/>
    <w:rsid w:val="00147145"/>
    <w:rsid w:val="00150A71"/>
    <w:rsid w:val="00151BBC"/>
    <w:rsid w:val="00151F00"/>
    <w:rsid w:val="00152000"/>
    <w:rsid w:val="00152436"/>
    <w:rsid w:val="001537D2"/>
    <w:rsid w:val="00153D05"/>
    <w:rsid w:val="00154497"/>
    <w:rsid w:val="001546F5"/>
    <w:rsid w:val="0015521D"/>
    <w:rsid w:val="0015639A"/>
    <w:rsid w:val="00156616"/>
    <w:rsid w:val="00160055"/>
    <w:rsid w:val="0016013C"/>
    <w:rsid w:val="00161478"/>
    <w:rsid w:val="00161B5B"/>
    <w:rsid w:val="0016271B"/>
    <w:rsid w:val="00162AE9"/>
    <w:rsid w:val="001639C2"/>
    <w:rsid w:val="00163F5B"/>
    <w:rsid w:val="0016470C"/>
    <w:rsid w:val="00164CD4"/>
    <w:rsid w:val="0016534E"/>
    <w:rsid w:val="001661DD"/>
    <w:rsid w:val="0016632E"/>
    <w:rsid w:val="001663C8"/>
    <w:rsid w:val="00166C56"/>
    <w:rsid w:val="001677B1"/>
    <w:rsid w:val="00167862"/>
    <w:rsid w:val="00167964"/>
    <w:rsid w:val="001703BA"/>
    <w:rsid w:val="00170C83"/>
    <w:rsid w:val="00171FC4"/>
    <w:rsid w:val="00172142"/>
    <w:rsid w:val="001724DF"/>
    <w:rsid w:val="00173408"/>
    <w:rsid w:val="00173571"/>
    <w:rsid w:val="001738EA"/>
    <w:rsid w:val="00173A06"/>
    <w:rsid w:val="00173AC1"/>
    <w:rsid w:val="001742A8"/>
    <w:rsid w:val="00174CCE"/>
    <w:rsid w:val="00174D3D"/>
    <w:rsid w:val="001751E4"/>
    <w:rsid w:val="00175D60"/>
    <w:rsid w:val="00177277"/>
    <w:rsid w:val="001774C7"/>
    <w:rsid w:val="001804F9"/>
    <w:rsid w:val="00181615"/>
    <w:rsid w:val="00181644"/>
    <w:rsid w:val="00182238"/>
    <w:rsid w:val="00182713"/>
    <w:rsid w:val="00182CA7"/>
    <w:rsid w:val="00182ECC"/>
    <w:rsid w:val="001832EB"/>
    <w:rsid w:val="00184137"/>
    <w:rsid w:val="001843FD"/>
    <w:rsid w:val="0018452B"/>
    <w:rsid w:val="00184812"/>
    <w:rsid w:val="00184E1C"/>
    <w:rsid w:val="001851C2"/>
    <w:rsid w:val="001851F3"/>
    <w:rsid w:val="001855E7"/>
    <w:rsid w:val="0018567A"/>
    <w:rsid w:val="00186ACC"/>
    <w:rsid w:val="00187B87"/>
    <w:rsid w:val="00187D4A"/>
    <w:rsid w:val="00187DC0"/>
    <w:rsid w:val="00190841"/>
    <w:rsid w:val="00190895"/>
    <w:rsid w:val="001927FC"/>
    <w:rsid w:val="0019292A"/>
    <w:rsid w:val="001935BB"/>
    <w:rsid w:val="001939A3"/>
    <w:rsid w:val="0019448A"/>
    <w:rsid w:val="001962B2"/>
    <w:rsid w:val="00197273"/>
    <w:rsid w:val="001972DA"/>
    <w:rsid w:val="00197371"/>
    <w:rsid w:val="00197C4B"/>
    <w:rsid w:val="001A005F"/>
    <w:rsid w:val="001A038D"/>
    <w:rsid w:val="001A05D7"/>
    <w:rsid w:val="001A13A9"/>
    <w:rsid w:val="001A1D34"/>
    <w:rsid w:val="001A1F1E"/>
    <w:rsid w:val="001A25C4"/>
    <w:rsid w:val="001A29E2"/>
    <w:rsid w:val="001A2A56"/>
    <w:rsid w:val="001A2D70"/>
    <w:rsid w:val="001A2E28"/>
    <w:rsid w:val="001A30AB"/>
    <w:rsid w:val="001A361E"/>
    <w:rsid w:val="001A395D"/>
    <w:rsid w:val="001A4132"/>
    <w:rsid w:val="001A45D7"/>
    <w:rsid w:val="001A4952"/>
    <w:rsid w:val="001A4A4E"/>
    <w:rsid w:val="001A4BE5"/>
    <w:rsid w:val="001A5400"/>
    <w:rsid w:val="001A580F"/>
    <w:rsid w:val="001A5D20"/>
    <w:rsid w:val="001A6FD5"/>
    <w:rsid w:val="001A70B8"/>
    <w:rsid w:val="001B02BE"/>
    <w:rsid w:val="001B0859"/>
    <w:rsid w:val="001B1806"/>
    <w:rsid w:val="001B1D2A"/>
    <w:rsid w:val="001B3BD8"/>
    <w:rsid w:val="001B5DD6"/>
    <w:rsid w:val="001B6442"/>
    <w:rsid w:val="001B6595"/>
    <w:rsid w:val="001B69D6"/>
    <w:rsid w:val="001B6C4B"/>
    <w:rsid w:val="001B72A4"/>
    <w:rsid w:val="001B751A"/>
    <w:rsid w:val="001B7A23"/>
    <w:rsid w:val="001C00A2"/>
    <w:rsid w:val="001C010A"/>
    <w:rsid w:val="001C0C31"/>
    <w:rsid w:val="001C185A"/>
    <w:rsid w:val="001C1DCA"/>
    <w:rsid w:val="001C2811"/>
    <w:rsid w:val="001C2C70"/>
    <w:rsid w:val="001C307A"/>
    <w:rsid w:val="001C3693"/>
    <w:rsid w:val="001C4255"/>
    <w:rsid w:val="001C59AE"/>
    <w:rsid w:val="001C5A7F"/>
    <w:rsid w:val="001C5E64"/>
    <w:rsid w:val="001C5F5E"/>
    <w:rsid w:val="001C6609"/>
    <w:rsid w:val="001C67A1"/>
    <w:rsid w:val="001C718B"/>
    <w:rsid w:val="001D05F6"/>
    <w:rsid w:val="001D0B88"/>
    <w:rsid w:val="001D0D76"/>
    <w:rsid w:val="001D0D9C"/>
    <w:rsid w:val="001D2277"/>
    <w:rsid w:val="001D3AE6"/>
    <w:rsid w:val="001D44D5"/>
    <w:rsid w:val="001D4F01"/>
    <w:rsid w:val="001D6963"/>
    <w:rsid w:val="001D6E22"/>
    <w:rsid w:val="001D7DC2"/>
    <w:rsid w:val="001E1276"/>
    <w:rsid w:val="001E131E"/>
    <w:rsid w:val="001E1AEB"/>
    <w:rsid w:val="001E2A99"/>
    <w:rsid w:val="001E3672"/>
    <w:rsid w:val="001E4463"/>
    <w:rsid w:val="001E46BE"/>
    <w:rsid w:val="001E4A76"/>
    <w:rsid w:val="001E4B37"/>
    <w:rsid w:val="001E5AF9"/>
    <w:rsid w:val="001E5F90"/>
    <w:rsid w:val="001E694B"/>
    <w:rsid w:val="001E7C7B"/>
    <w:rsid w:val="001F0B97"/>
    <w:rsid w:val="001F0D21"/>
    <w:rsid w:val="001F0D6A"/>
    <w:rsid w:val="001F1988"/>
    <w:rsid w:val="001F1D20"/>
    <w:rsid w:val="001F4F60"/>
    <w:rsid w:val="001F5B92"/>
    <w:rsid w:val="001F71E3"/>
    <w:rsid w:val="001F7379"/>
    <w:rsid w:val="002005DE"/>
    <w:rsid w:val="00201BF3"/>
    <w:rsid w:val="00201F45"/>
    <w:rsid w:val="00203FB5"/>
    <w:rsid w:val="002045ED"/>
    <w:rsid w:val="002049CB"/>
    <w:rsid w:val="00205B29"/>
    <w:rsid w:val="0020740F"/>
    <w:rsid w:val="00207D61"/>
    <w:rsid w:val="00207DEB"/>
    <w:rsid w:val="002100A5"/>
    <w:rsid w:val="002104B2"/>
    <w:rsid w:val="0021099A"/>
    <w:rsid w:val="002109CE"/>
    <w:rsid w:val="0021132F"/>
    <w:rsid w:val="002127FA"/>
    <w:rsid w:val="0021290C"/>
    <w:rsid w:val="00213897"/>
    <w:rsid w:val="00214324"/>
    <w:rsid w:val="00214B02"/>
    <w:rsid w:val="00214DC5"/>
    <w:rsid w:val="0021596A"/>
    <w:rsid w:val="0021616A"/>
    <w:rsid w:val="0021628C"/>
    <w:rsid w:val="00216FEF"/>
    <w:rsid w:val="00217053"/>
    <w:rsid w:val="00217A05"/>
    <w:rsid w:val="00217C19"/>
    <w:rsid w:val="00220157"/>
    <w:rsid w:val="002207EF"/>
    <w:rsid w:val="00224FAF"/>
    <w:rsid w:val="002259AD"/>
    <w:rsid w:val="002260B4"/>
    <w:rsid w:val="00226AE1"/>
    <w:rsid w:val="00227CB6"/>
    <w:rsid w:val="00227DD0"/>
    <w:rsid w:val="002300C0"/>
    <w:rsid w:val="00230365"/>
    <w:rsid w:val="00230B02"/>
    <w:rsid w:val="00230BEA"/>
    <w:rsid w:val="00230E2A"/>
    <w:rsid w:val="00231464"/>
    <w:rsid w:val="002315B5"/>
    <w:rsid w:val="00231E67"/>
    <w:rsid w:val="00233680"/>
    <w:rsid w:val="00233C21"/>
    <w:rsid w:val="00234026"/>
    <w:rsid w:val="0023477C"/>
    <w:rsid w:val="0023535B"/>
    <w:rsid w:val="002354F0"/>
    <w:rsid w:val="002356E4"/>
    <w:rsid w:val="0023602C"/>
    <w:rsid w:val="0024026B"/>
    <w:rsid w:val="002408D8"/>
    <w:rsid w:val="00240D7B"/>
    <w:rsid w:val="00240F67"/>
    <w:rsid w:val="002415ED"/>
    <w:rsid w:val="00241951"/>
    <w:rsid w:val="00241DC8"/>
    <w:rsid w:val="0024259E"/>
    <w:rsid w:val="00243DB3"/>
    <w:rsid w:val="00244CC5"/>
    <w:rsid w:val="00244F9B"/>
    <w:rsid w:val="002461C9"/>
    <w:rsid w:val="00246419"/>
    <w:rsid w:val="00246631"/>
    <w:rsid w:val="00247967"/>
    <w:rsid w:val="00247DAB"/>
    <w:rsid w:val="00250370"/>
    <w:rsid w:val="00250C83"/>
    <w:rsid w:val="00251EF2"/>
    <w:rsid w:val="00252088"/>
    <w:rsid w:val="0025247C"/>
    <w:rsid w:val="00252833"/>
    <w:rsid w:val="00253421"/>
    <w:rsid w:val="0025362E"/>
    <w:rsid w:val="00255535"/>
    <w:rsid w:val="00255F65"/>
    <w:rsid w:val="002565AE"/>
    <w:rsid w:val="00256FB1"/>
    <w:rsid w:val="00260697"/>
    <w:rsid w:val="00260CC3"/>
    <w:rsid w:val="00260FC9"/>
    <w:rsid w:val="00261A7E"/>
    <w:rsid w:val="00261E2B"/>
    <w:rsid w:val="002625C1"/>
    <w:rsid w:val="00262958"/>
    <w:rsid w:val="00264094"/>
    <w:rsid w:val="002667F1"/>
    <w:rsid w:val="00266853"/>
    <w:rsid w:val="00267D1D"/>
    <w:rsid w:val="00270529"/>
    <w:rsid w:val="00270BFC"/>
    <w:rsid w:val="002723F5"/>
    <w:rsid w:val="00272569"/>
    <w:rsid w:val="00272608"/>
    <w:rsid w:val="00272CBD"/>
    <w:rsid w:val="00272FA8"/>
    <w:rsid w:val="00273E21"/>
    <w:rsid w:val="00274CD9"/>
    <w:rsid w:val="002750A7"/>
    <w:rsid w:val="00277C4A"/>
    <w:rsid w:val="002801E4"/>
    <w:rsid w:val="00280664"/>
    <w:rsid w:val="0028093B"/>
    <w:rsid w:val="00281BE4"/>
    <w:rsid w:val="002824F7"/>
    <w:rsid w:val="00282EFF"/>
    <w:rsid w:val="002832D0"/>
    <w:rsid w:val="00283F72"/>
    <w:rsid w:val="00284870"/>
    <w:rsid w:val="00284DAF"/>
    <w:rsid w:val="00285257"/>
    <w:rsid w:val="002864ED"/>
    <w:rsid w:val="002867F0"/>
    <w:rsid w:val="00286976"/>
    <w:rsid w:val="00286BE7"/>
    <w:rsid w:val="00287295"/>
    <w:rsid w:val="00287323"/>
    <w:rsid w:val="00287816"/>
    <w:rsid w:val="00287D04"/>
    <w:rsid w:val="00287D7F"/>
    <w:rsid w:val="002918CD"/>
    <w:rsid w:val="00291F68"/>
    <w:rsid w:val="0029277D"/>
    <w:rsid w:val="00292BA6"/>
    <w:rsid w:val="0029321C"/>
    <w:rsid w:val="00293A89"/>
    <w:rsid w:val="00293BA3"/>
    <w:rsid w:val="002947B2"/>
    <w:rsid w:val="0029493F"/>
    <w:rsid w:val="00294FC3"/>
    <w:rsid w:val="0029536C"/>
    <w:rsid w:val="0029659E"/>
    <w:rsid w:val="0029673A"/>
    <w:rsid w:val="00297385"/>
    <w:rsid w:val="002A0564"/>
    <w:rsid w:val="002A0668"/>
    <w:rsid w:val="002A1814"/>
    <w:rsid w:val="002A1E01"/>
    <w:rsid w:val="002A2232"/>
    <w:rsid w:val="002A2AD7"/>
    <w:rsid w:val="002A2C05"/>
    <w:rsid w:val="002A3191"/>
    <w:rsid w:val="002A3381"/>
    <w:rsid w:val="002A3637"/>
    <w:rsid w:val="002A6AF7"/>
    <w:rsid w:val="002B135A"/>
    <w:rsid w:val="002B1CD6"/>
    <w:rsid w:val="002B2FB5"/>
    <w:rsid w:val="002B3184"/>
    <w:rsid w:val="002B3F1C"/>
    <w:rsid w:val="002B40C2"/>
    <w:rsid w:val="002B4CEA"/>
    <w:rsid w:val="002B5913"/>
    <w:rsid w:val="002B5F1A"/>
    <w:rsid w:val="002B5FFC"/>
    <w:rsid w:val="002B60E0"/>
    <w:rsid w:val="002B7558"/>
    <w:rsid w:val="002B76F6"/>
    <w:rsid w:val="002B7E6D"/>
    <w:rsid w:val="002C0BEB"/>
    <w:rsid w:val="002C0FDB"/>
    <w:rsid w:val="002C174E"/>
    <w:rsid w:val="002C216D"/>
    <w:rsid w:val="002C29D6"/>
    <w:rsid w:val="002C2CCD"/>
    <w:rsid w:val="002C3CA9"/>
    <w:rsid w:val="002C46A0"/>
    <w:rsid w:val="002C46CD"/>
    <w:rsid w:val="002C54A9"/>
    <w:rsid w:val="002C5CA2"/>
    <w:rsid w:val="002C6DFF"/>
    <w:rsid w:val="002C715C"/>
    <w:rsid w:val="002C79D5"/>
    <w:rsid w:val="002C7E89"/>
    <w:rsid w:val="002C7F47"/>
    <w:rsid w:val="002D0560"/>
    <w:rsid w:val="002D06B6"/>
    <w:rsid w:val="002D10B1"/>
    <w:rsid w:val="002D160D"/>
    <w:rsid w:val="002D16EA"/>
    <w:rsid w:val="002D201A"/>
    <w:rsid w:val="002D20DD"/>
    <w:rsid w:val="002D308A"/>
    <w:rsid w:val="002D31F9"/>
    <w:rsid w:val="002D3825"/>
    <w:rsid w:val="002D3C42"/>
    <w:rsid w:val="002D3FFC"/>
    <w:rsid w:val="002D40FF"/>
    <w:rsid w:val="002D4200"/>
    <w:rsid w:val="002D46F9"/>
    <w:rsid w:val="002D4ECD"/>
    <w:rsid w:val="002D52E3"/>
    <w:rsid w:val="002D564C"/>
    <w:rsid w:val="002D6357"/>
    <w:rsid w:val="002E117F"/>
    <w:rsid w:val="002E24F1"/>
    <w:rsid w:val="002E310A"/>
    <w:rsid w:val="002E387E"/>
    <w:rsid w:val="002E3A37"/>
    <w:rsid w:val="002E3B7F"/>
    <w:rsid w:val="002E3F47"/>
    <w:rsid w:val="002E4B66"/>
    <w:rsid w:val="002E4DBE"/>
    <w:rsid w:val="002E5E4E"/>
    <w:rsid w:val="002E61AD"/>
    <w:rsid w:val="002E6643"/>
    <w:rsid w:val="002E68FC"/>
    <w:rsid w:val="002E6E54"/>
    <w:rsid w:val="002F0B27"/>
    <w:rsid w:val="002F0C6C"/>
    <w:rsid w:val="002F1A26"/>
    <w:rsid w:val="002F1B65"/>
    <w:rsid w:val="002F1D8D"/>
    <w:rsid w:val="002F392D"/>
    <w:rsid w:val="002F3D54"/>
    <w:rsid w:val="002F4190"/>
    <w:rsid w:val="002F4774"/>
    <w:rsid w:val="002F5812"/>
    <w:rsid w:val="002F6668"/>
    <w:rsid w:val="002F6AD0"/>
    <w:rsid w:val="002F7E35"/>
    <w:rsid w:val="003014CE"/>
    <w:rsid w:val="003018AA"/>
    <w:rsid w:val="00302308"/>
    <w:rsid w:val="0030275C"/>
    <w:rsid w:val="003040EC"/>
    <w:rsid w:val="00304764"/>
    <w:rsid w:val="00306615"/>
    <w:rsid w:val="00306798"/>
    <w:rsid w:val="00306C97"/>
    <w:rsid w:val="0030745F"/>
    <w:rsid w:val="003079B7"/>
    <w:rsid w:val="00310460"/>
    <w:rsid w:val="0031079C"/>
    <w:rsid w:val="00310FBA"/>
    <w:rsid w:val="00310FEF"/>
    <w:rsid w:val="00311210"/>
    <w:rsid w:val="003114C3"/>
    <w:rsid w:val="00311716"/>
    <w:rsid w:val="00314205"/>
    <w:rsid w:val="0031481C"/>
    <w:rsid w:val="00314A85"/>
    <w:rsid w:val="00314F79"/>
    <w:rsid w:val="0031559E"/>
    <w:rsid w:val="00316D28"/>
    <w:rsid w:val="003171EE"/>
    <w:rsid w:val="00317293"/>
    <w:rsid w:val="003179AD"/>
    <w:rsid w:val="00321A7A"/>
    <w:rsid w:val="00321F34"/>
    <w:rsid w:val="00322E57"/>
    <w:rsid w:val="00322E5A"/>
    <w:rsid w:val="00322EA3"/>
    <w:rsid w:val="00323D56"/>
    <w:rsid w:val="0032447C"/>
    <w:rsid w:val="003244AB"/>
    <w:rsid w:val="00324E9E"/>
    <w:rsid w:val="003252CE"/>
    <w:rsid w:val="003253F3"/>
    <w:rsid w:val="00325B18"/>
    <w:rsid w:val="00325C92"/>
    <w:rsid w:val="00326139"/>
    <w:rsid w:val="003270AB"/>
    <w:rsid w:val="003274CF"/>
    <w:rsid w:val="00327792"/>
    <w:rsid w:val="003279A8"/>
    <w:rsid w:val="00327D82"/>
    <w:rsid w:val="00327E17"/>
    <w:rsid w:val="0033088E"/>
    <w:rsid w:val="00331175"/>
    <w:rsid w:val="003318C0"/>
    <w:rsid w:val="00331F46"/>
    <w:rsid w:val="00331F5D"/>
    <w:rsid w:val="00332C38"/>
    <w:rsid w:val="00332F8C"/>
    <w:rsid w:val="00333E19"/>
    <w:rsid w:val="003346E3"/>
    <w:rsid w:val="00334D20"/>
    <w:rsid w:val="003350D8"/>
    <w:rsid w:val="003350D9"/>
    <w:rsid w:val="003361C0"/>
    <w:rsid w:val="0033643A"/>
    <w:rsid w:val="00336446"/>
    <w:rsid w:val="003368A3"/>
    <w:rsid w:val="00336F53"/>
    <w:rsid w:val="00341159"/>
    <w:rsid w:val="003414F7"/>
    <w:rsid w:val="00342188"/>
    <w:rsid w:val="00342E33"/>
    <w:rsid w:val="003434DB"/>
    <w:rsid w:val="003439C3"/>
    <w:rsid w:val="00344CC2"/>
    <w:rsid w:val="0034541A"/>
    <w:rsid w:val="003465D3"/>
    <w:rsid w:val="003467BF"/>
    <w:rsid w:val="003477A9"/>
    <w:rsid w:val="00347DE0"/>
    <w:rsid w:val="00347FEE"/>
    <w:rsid w:val="003501E8"/>
    <w:rsid w:val="0035051B"/>
    <w:rsid w:val="003516C8"/>
    <w:rsid w:val="00351756"/>
    <w:rsid w:val="00351A54"/>
    <w:rsid w:val="00351BEA"/>
    <w:rsid w:val="00352094"/>
    <w:rsid w:val="00353AF2"/>
    <w:rsid w:val="00353F55"/>
    <w:rsid w:val="00353FAF"/>
    <w:rsid w:val="00354B2A"/>
    <w:rsid w:val="00356163"/>
    <w:rsid w:val="003565FD"/>
    <w:rsid w:val="00356761"/>
    <w:rsid w:val="003575DB"/>
    <w:rsid w:val="0036067D"/>
    <w:rsid w:val="0036073F"/>
    <w:rsid w:val="00360C1C"/>
    <w:rsid w:val="00360C77"/>
    <w:rsid w:val="0036238B"/>
    <w:rsid w:val="00362C2D"/>
    <w:rsid w:val="0036307A"/>
    <w:rsid w:val="003636D4"/>
    <w:rsid w:val="00363A08"/>
    <w:rsid w:val="003645D8"/>
    <w:rsid w:val="003653BB"/>
    <w:rsid w:val="003656FD"/>
    <w:rsid w:val="00365F20"/>
    <w:rsid w:val="00366328"/>
    <w:rsid w:val="003665B0"/>
    <w:rsid w:val="00366606"/>
    <w:rsid w:val="00366670"/>
    <w:rsid w:val="00366EBB"/>
    <w:rsid w:val="00367979"/>
    <w:rsid w:val="00367A78"/>
    <w:rsid w:val="00367B7D"/>
    <w:rsid w:val="0037109F"/>
    <w:rsid w:val="00371380"/>
    <w:rsid w:val="003720DA"/>
    <w:rsid w:val="0037211F"/>
    <w:rsid w:val="00372156"/>
    <w:rsid w:val="00372723"/>
    <w:rsid w:val="00373530"/>
    <w:rsid w:val="00373735"/>
    <w:rsid w:val="00374371"/>
    <w:rsid w:val="00375422"/>
    <w:rsid w:val="003755FB"/>
    <w:rsid w:val="00375708"/>
    <w:rsid w:val="0037577C"/>
    <w:rsid w:val="00376479"/>
    <w:rsid w:val="0037690D"/>
    <w:rsid w:val="0037723D"/>
    <w:rsid w:val="00377A9F"/>
    <w:rsid w:val="00377ED6"/>
    <w:rsid w:val="003800EF"/>
    <w:rsid w:val="00380794"/>
    <w:rsid w:val="003808F6"/>
    <w:rsid w:val="00381414"/>
    <w:rsid w:val="003819AD"/>
    <w:rsid w:val="00381B7A"/>
    <w:rsid w:val="00381E3A"/>
    <w:rsid w:val="0038250A"/>
    <w:rsid w:val="00383AE0"/>
    <w:rsid w:val="00383DF6"/>
    <w:rsid w:val="0038403D"/>
    <w:rsid w:val="00384296"/>
    <w:rsid w:val="00384BDF"/>
    <w:rsid w:val="00385390"/>
    <w:rsid w:val="0038544B"/>
    <w:rsid w:val="00385502"/>
    <w:rsid w:val="00385BAD"/>
    <w:rsid w:val="00386627"/>
    <w:rsid w:val="00386A96"/>
    <w:rsid w:val="00386B22"/>
    <w:rsid w:val="00386F1E"/>
    <w:rsid w:val="0038785C"/>
    <w:rsid w:val="00387EBF"/>
    <w:rsid w:val="00390048"/>
    <w:rsid w:val="0039030A"/>
    <w:rsid w:val="00390508"/>
    <w:rsid w:val="003907BA"/>
    <w:rsid w:val="00390C8D"/>
    <w:rsid w:val="003912B0"/>
    <w:rsid w:val="003918CB"/>
    <w:rsid w:val="00391BB0"/>
    <w:rsid w:val="003921DF"/>
    <w:rsid w:val="00392938"/>
    <w:rsid w:val="00393016"/>
    <w:rsid w:val="0039323E"/>
    <w:rsid w:val="0039380C"/>
    <w:rsid w:val="00394092"/>
    <w:rsid w:val="003943A7"/>
    <w:rsid w:val="00394605"/>
    <w:rsid w:val="0039463C"/>
    <w:rsid w:val="00394B4F"/>
    <w:rsid w:val="00395642"/>
    <w:rsid w:val="003958FA"/>
    <w:rsid w:val="003967F4"/>
    <w:rsid w:val="0039691F"/>
    <w:rsid w:val="00396BF8"/>
    <w:rsid w:val="003975E7"/>
    <w:rsid w:val="00397BC3"/>
    <w:rsid w:val="00397BDF"/>
    <w:rsid w:val="003A0182"/>
    <w:rsid w:val="003A04A0"/>
    <w:rsid w:val="003A104E"/>
    <w:rsid w:val="003A1640"/>
    <w:rsid w:val="003A1AC5"/>
    <w:rsid w:val="003A1D4E"/>
    <w:rsid w:val="003A2253"/>
    <w:rsid w:val="003A2FB7"/>
    <w:rsid w:val="003A4496"/>
    <w:rsid w:val="003A49E6"/>
    <w:rsid w:val="003A4FDE"/>
    <w:rsid w:val="003A591E"/>
    <w:rsid w:val="003A5D24"/>
    <w:rsid w:val="003B03BD"/>
    <w:rsid w:val="003B30E9"/>
    <w:rsid w:val="003B31F4"/>
    <w:rsid w:val="003B39E5"/>
    <w:rsid w:val="003B4687"/>
    <w:rsid w:val="003B481E"/>
    <w:rsid w:val="003B5C17"/>
    <w:rsid w:val="003B5C7C"/>
    <w:rsid w:val="003B6E03"/>
    <w:rsid w:val="003B6F80"/>
    <w:rsid w:val="003B79A6"/>
    <w:rsid w:val="003C05F3"/>
    <w:rsid w:val="003C061A"/>
    <w:rsid w:val="003C1BC5"/>
    <w:rsid w:val="003C1CBC"/>
    <w:rsid w:val="003C26E6"/>
    <w:rsid w:val="003C2D37"/>
    <w:rsid w:val="003C2D9D"/>
    <w:rsid w:val="003C30E1"/>
    <w:rsid w:val="003C3140"/>
    <w:rsid w:val="003C3302"/>
    <w:rsid w:val="003C3438"/>
    <w:rsid w:val="003C444B"/>
    <w:rsid w:val="003C54D2"/>
    <w:rsid w:val="003C5C58"/>
    <w:rsid w:val="003C69B7"/>
    <w:rsid w:val="003C7B50"/>
    <w:rsid w:val="003D0A27"/>
    <w:rsid w:val="003D0B91"/>
    <w:rsid w:val="003D0CE1"/>
    <w:rsid w:val="003D174E"/>
    <w:rsid w:val="003D18C4"/>
    <w:rsid w:val="003D2AC5"/>
    <w:rsid w:val="003D3109"/>
    <w:rsid w:val="003D4482"/>
    <w:rsid w:val="003D47AD"/>
    <w:rsid w:val="003D47FE"/>
    <w:rsid w:val="003D546E"/>
    <w:rsid w:val="003D571F"/>
    <w:rsid w:val="003D5961"/>
    <w:rsid w:val="003D602B"/>
    <w:rsid w:val="003D638F"/>
    <w:rsid w:val="003D65BF"/>
    <w:rsid w:val="003D6AB5"/>
    <w:rsid w:val="003D6BB2"/>
    <w:rsid w:val="003D7314"/>
    <w:rsid w:val="003D748D"/>
    <w:rsid w:val="003D7565"/>
    <w:rsid w:val="003E0D06"/>
    <w:rsid w:val="003E0DDB"/>
    <w:rsid w:val="003E21F1"/>
    <w:rsid w:val="003E2276"/>
    <w:rsid w:val="003E33A6"/>
    <w:rsid w:val="003E3549"/>
    <w:rsid w:val="003E3FD6"/>
    <w:rsid w:val="003E4EAA"/>
    <w:rsid w:val="003E505E"/>
    <w:rsid w:val="003E5535"/>
    <w:rsid w:val="003E58B9"/>
    <w:rsid w:val="003E6448"/>
    <w:rsid w:val="003E67AC"/>
    <w:rsid w:val="003E693B"/>
    <w:rsid w:val="003E6E9B"/>
    <w:rsid w:val="003E7243"/>
    <w:rsid w:val="003E72FA"/>
    <w:rsid w:val="003E74D6"/>
    <w:rsid w:val="003E7B78"/>
    <w:rsid w:val="003F0363"/>
    <w:rsid w:val="003F07D0"/>
    <w:rsid w:val="003F163C"/>
    <w:rsid w:val="003F2336"/>
    <w:rsid w:val="003F2CE4"/>
    <w:rsid w:val="003F2FD7"/>
    <w:rsid w:val="003F42D0"/>
    <w:rsid w:val="003F479B"/>
    <w:rsid w:val="003F54C8"/>
    <w:rsid w:val="003F5D5D"/>
    <w:rsid w:val="003F60BD"/>
    <w:rsid w:val="003F646B"/>
    <w:rsid w:val="003F6B27"/>
    <w:rsid w:val="004009C5"/>
    <w:rsid w:val="004013E8"/>
    <w:rsid w:val="0040204C"/>
    <w:rsid w:val="004025BD"/>
    <w:rsid w:val="0040376C"/>
    <w:rsid w:val="00403AF9"/>
    <w:rsid w:val="00403BEC"/>
    <w:rsid w:val="00404088"/>
    <w:rsid w:val="00405AB5"/>
    <w:rsid w:val="004064DA"/>
    <w:rsid w:val="004069CB"/>
    <w:rsid w:val="00406EB7"/>
    <w:rsid w:val="0040700D"/>
    <w:rsid w:val="0040771B"/>
    <w:rsid w:val="0041031C"/>
    <w:rsid w:val="00411330"/>
    <w:rsid w:val="00411452"/>
    <w:rsid w:val="004125FA"/>
    <w:rsid w:val="00412936"/>
    <w:rsid w:val="00413564"/>
    <w:rsid w:val="00414EA5"/>
    <w:rsid w:val="004166CD"/>
    <w:rsid w:val="00416C23"/>
    <w:rsid w:val="004173E3"/>
    <w:rsid w:val="004177CF"/>
    <w:rsid w:val="00417829"/>
    <w:rsid w:val="00417C4F"/>
    <w:rsid w:val="00417D8B"/>
    <w:rsid w:val="00421358"/>
    <w:rsid w:val="00421740"/>
    <w:rsid w:val="00421AC8"/>
    <w:rsid w:val="00421C32"/>
    <w:rsid w:val="00421C89"/>
    <w:rsid w:val="0042205F"/>
    <w:rsid w:val="00422588"/>
    <w:rsid w:val="004226F9"/>
    <w:rsid w:val="00422F86"/>
    <w:rsid w:val="00423071"/>
    <w:rsid w:val="0042333B"/>
    <w:rsid w:val="00423EB9"/>
    <w:rsid w:val="00424D23"/>
    <w:rsid w:val="00424F78"/>
    <w:rsid w:val="0042507F"/>
    <w:rsid w:val="004254DF"/>
    <w:rsid w:val="00425992"/>
    <w:rsid w:val="004261E0"/>
    <w:rsid w:val="00426D9E"/>
    <w:rsid w:val="0042773B"/>
    <w:rsid w:val="00430262"/>
    <w:rsid w:val="00430475"/>
    <w:rsid w:val="00430926"/>
    <w:rsid w:val="004321C7"/>
    <w:rsid w:val="00432F1E"/>
    <w:rsid w:val="00432F9B"/>
    <w:rsid w:val="0043322C"/>
    <w:rsid w:val="00434243"/>
    <w:rsid w:val="00434683"/>
    <w:rsid w:val="00435AD6"/>
    <w:rsid w:val="00435C50"/>
    <w:rsid w:val="00436B9F"/>
    <w:rsid w:val="00436C58"/>
    <w:rsid w:val="00436F6C"/>
    <w:rsid w:val="004375E7"/>
    <w:rsid w:val="00437DAA"/>
    <w:rsid w:val="00440693"/>
    <w:rsid w:val="0044073E"/>
    <w:rsid w:val="00440771"/>
    <w:rsid w:val="00441174"/>
    <w:rsid w:val="0044222F"/>
    <w:rsid w:val="004423B8"/>
    <w:rsid w:val="00442768"/>
    <w:rsid w:val="004438F4"/>
    <w:rsid w:val="00443F92"/>
    <w:rsid w:val="00444427"/>
    <w:rsid w:val="00444B27"/>
    <w:rsid w:val="00445362"/>
    <w:rsid w:val="004472E5"/>
    <w:rsid w:val="004475C9"/>
    <w:rsid w:val="0044784E"/>
    <w:rsid w:val="00447AE3"/>
    <w:rsid w:val="004512C8"/>
    <w:rsid w:val="004517BC"/>
    <w:rsid w:val="0045312D"/>
    <w:rsid w:val="004534E2"/>
    <w:rsid w:val="0045368F"/>
    <w:rsid w:val="004537DC"/>
    <w:rsid w:val="00453943"/>
    <w:rsid w:val="00454282"/>
    <w:rsid w:val="00454571"/>
    <w:rsid w:val="0045461B"/>
    <w:rsid w:val="004546B0"/>
    <w:rsid w:val="00454715"/>
    <w:rsid w:val="00454B28"/>
    <w:rsid w:val="00454B73"/>
    <w:rsid w:val="004572DD"/>
    <w:rsid w:val="004603BF"/>
    <w:rsid w:val="0046282B"/>
    <w:rsid w:val="00462DFA"/>
    <w:rsid w:val="00463624"/>
    <w:rsid w:val="00463AB6"/>
    <w:rsid w:val="00463F9B"/>
    <w:rsid w:val="004640C5"/>
    <w:rsid w:val="004642CF"/>
    <w:rsid w:val="00464407"/>
    <w:rsid w:val="004648CC"/>
    <w:rsid w:val="004649C2"/>
    <w:rsid w:val="00464A8C"/>
    <w:rsid w:val="00465A06"/>
    <w:rsid w:val="00465AD0"/>
    <w:rsid w:val="0046606B"/>
    <w:rsid w:val="004665D7"/>
    <w:rsid w:val="0047003B"/>
    <w:rsid w:val="00470421"/>
    <w:rsid w:val="004715F2"/>
    <w:rsid w:val="004716B3"/>
    <w:rsid w:val="00471725"/>
    <w:rsid w:val="00471DD9"/>
    <w:rsid w:val="004726D3"/>
    <w:rsid w:val="004734DC"/>
    <w:rsid w:val="004747F4"/>
    <w:rsid w:val="004749BC"/>
    <w:rsid w:val="0047608F"/>
    <w:rsid w:val="0047609C"/>
    <w:rsid w:val="0047627F"/>
    <w:rsid w:val="00476554"/>
    <w:rsid w:val="00476BFC"/>
    <w:rsid w:val="00477D28"/>
    <w:rsid w:val="00480185"/>
    <w:rsid w:val="00480882"/>
    <w:rsid w:val="00480BCC"/>
    <w:rsid w:val="00482649"/>
    <w:rsid w:val="00482C61"/>
    <w:rsid w:val="00483B95"/>
    <w:rsid w:val="00484607"/>
    <w:rsid w:val="00484FA6"/>
    <w:rsid w:val="00485B01"/>
    <w:rsid w:val="00485DC0"/>
    <w:rsid w:val="00485E57"/>
    <w:rsid w:val="00486562"/>
    <w:rsid w:val="004866F7"/>
    <w:rsid w:val="00486BC7"/>
    <w:rsid w:val="00486CBB"/>
    <w:rsid w:val="00486CBF"/>
    <w:rsid w:val="004871B6"/>
    <w:rsid w:val="004873DC"/>
    <w:rsid w:val="0048774B"/>
    <w:rsid w:val="00487870"/>
    <w:rsid w:val="004912DF"/>
    <w:rsid w:val="0049157F"/>
    <w:rsid w:val="004919C1"/>
    <w:rsid w:val="004919D8"/>
    <w:rsid w:val="00491D91"/>
    <w:rsid w:val="00491F48"/>
    <w:rsid w:val="00493006"/>
    <w:rsid w:val="004933B3"/>
    <w:rsid w:val="0049406B"/>
    <w:rsid w:val="00495357"/>
    <w:rsid w:val="0049552F"/>
    <w:rsid w:val="00495EA8"/>
    <w:rsid w:val="0049615C"/>
    <w:rsid w:val="00496D41"/>
    <w:rsid w:val="00497883"/>
    <w:rsid w:val="004A085D"/>
    <w:rsid w:val="004A093D"/>
    <w:rsid w:val="004A16BE"/>
    <w:rsid w:val="004A2E4E"/>
    <w:rsid w:val="004A2F9F"/>
    <w:rsid w:val="004A3CDD"/>
    <w:rsid w:val="004A3F2F"/>
    <w:rsid w:val="004A425C"/>
    <w:rsid w:val="004A4DEB"/>
    <w:rsid w:val="004A545D"/>
    <w:rsid w:val="004A57D4"/>
    <w:rsid w:val="004B19A9"/>
    <w:rsid w:val="004B211C"/>
    <w:rsid w:val="004B2A16"/>
    <w:rsid w:val="004B2BE5"/>
    <w:rsid w:val="004B484D"/>
    <w:rsid w:val="004B5962"/>
    <w:rsid w:val="004B5A78"/>
    <w:rsid w:val="004B5D1F"/>
    <w:rsid w:val="004B61A2"/>
    <w:rsid w:val="004B667D"/>
    <w:rsid w:val="004C0069"/>
    <w:rsid w:val="004C0715"/>
    <w:rsid w:val="004C0BF0"/>
    <w:rsid w:val="004C13A4"/>
    <w:rsid w:val="004C155F"/>
    <w:rsid w:val="004C1AA9"/>
    <w:rsid w:val="004C1CD2"/>
    <w:rsid w:val="004C1D6D"/>
    <w:rsid w:val="004C29F3"/>
    <w:rsid w:val="004C34FB"/>
    <w:rsid w:val="004C50EB"/>
    <w:rsid w:val="004C533A"/>
    <w:rsid w:val="004C6969"/>
    <w:rsid w:val="004C69BC"/>
    <w:rsid w:val="004D1CC1"/>
    <w:rsid w:val="004D207C"/>
    <w:rsid w:val="004D2793"/>
    <w:rsid w:val="004D44AD"/>
    <w:rsid w:val="004D50EB"/>
    <w:rsid w:val="004D5664"/>
    <w:rsid w:val="004D5ADB"/>
    <w:rsid w:val="004D5F55"/>
    <w:rsid w:val="004D623E"/>
    <w:rsid w:val="004D7103"/>
    <w:rsid w:val="004D7A83"/>
    <w:rsid w:val="004D7F52"/>
    <w:rsid w:val="004E018A"/>
    <w:rsid w:val="004E030A"/>
    <w:rsid w:val="004E0D67"/>
    <w:rsid w:val="004E0EC1"/>
    <w:rsid w:val="004E3268"/>
    <w:rsid w:val="004E387E"/>
    <w:rsid w:val="004E442F"/>
    <w:rsid w:val="004E45E6"/>
    <w:rsid w:val="004E66A4"/>
    <w:rsid w:val="004E678B"/>
    <w:rsid w:val="004F04D9"/>
    <w:rsid w:val="004F05C7"/>
    <w:rsid w:val="004F1919"/>
    <w:rsid w:val="004F1AAE"/>
    <w:rsid w:val="004F1AE5"/>
    <w:rsid w:val="004F22DA"/>
    <w:rsid w:val="004F25EB"/>
    <w:rsid w:val="004F2673"/>
    <w:rsid w:val="004F2F59"/>
    <w:rsid w:val="004F3F69"/>
    <w:rsid w:val="004F5552"/>
    <w:rsid w:val="004F5A1E"/>
    <w:rsid w:val="004F6D76"/>
    <w:rsid w:val="004F6FBB"/>
    <w:rsid w:val="00500769"/>
    <w:rsid w:val="00500B07"/>
    <w:rsid w:val="00501D74"/>
    <w:rsid w:val="00502097"/>
    <w:rsid w:val="005022A4"/>
    <w:rsid w:val="00502C41"/>
    <w:rsid w:val="00503C85"/>
    <w:rsid w:val="00503DFC"/>
    <w:rsid w:val="00504662"/>
    <w:rsid w:val="00504834"/>
    <w:rsid w:val="0050570E"/>
    <w:rsid w:val="00505AEE"/>
    <w:rsid w:val="0050632E"/>
    <w:rsid w:val="0050640D"/>
    <w:rsid w:val="005076C2"/>
    <w:rsid w:val="005077C8"/>
    <w:rsid w:val="005077E8"/>
    <w:rsid w:val="00507B63"/>
    <w:rsid w:val="005105AC"/>
    <w:rsid w:val="005106B9"/>
    <w:rsid w:val="00510A1A"/>
    <w:rsid w:val="00511030"/>
    <w:rsid w:val="00511062"/>
    <w:rsid w:val="00511AE2"/>
    <w:rsid w:val="00511C05"/>
    <w:rsid w:val="00512007"/>
    <w:rsid w:val="005126B3"/>
    <w:rsid w:val="00512D4E"/>
    <w:rsid w:val="00512F82"/>
    <w:rsid w:val="00513251"/>
    <w:rsid w:val="00513354"/>
    <w:rsid w:val="0051434D"/>
    <w:rsid w:val="00514507"/>
    <w:rsid w:val="005151B7"/>
    <w:rsid w:val="005158A0"/>
    <w:rsid w:val="00515C2E"/>
    <w:rsid w:val="00516791"/>
    <w:rsid w:val="0051722E"/>
    <w:rsid w:val="005176F7"/>
    <w:rsid w:val="00517B9C"/>
    <w:rsid w:val="00520015"/>
    <w:rsid w:val="0052113D"/>
    <w:rsid w:val="0052194F"/>
    <w:rsid w:val="00522218"/>
    <w:rsid w:val="00523B91"/>
    <w:rsid w:val="00523F11"/>
    <w:rsid w:val="00524A83"/>
    <w:rsid w:val="00525400"/>
    <w:rsid w:val="0052582B"/>
    <w:rsid w:val="00525B7C"/>
    <w:rsid w:val="00525C93"/>
    <w:rsid w:val="00527CBF"/>
    <w:rsid w:val="005303DF"/>
    <w:rsid w:val="00530774"/>
    <w:rsid w:val="00530FE3"/>
    <w:rsid w:val="005312B8"/>
    <w:rsid w:val="0053161F"/>
    <w:rsid w:val="0053196D"/>
    <w:rsid w:val="0053197D"/>
    <w:rsid w:val="005322F9"/>
    <w:rsid w:val="005325FC"/>
    <w:rsid w:val="00532D5C"/>
    <w:rsid w:val="00533647"/>
    <w:rsid w:val="005338DF"/>
    <w:rsid w:val="00533910"/>
    <w:rsid w:val="00534679"/>
    <w:rsid w:val="005346B9"/>
    <w:rsid w:val="0053497E"/>
    <w:rsid w:val="00535045"/>
    <w:rsid w:val="00535E7E"/>
    <w:rsid w:val="00536011"/>
    <w:rsid w:val="00536A11"/>
    <w:rsid w:val="00536A74"/>
    <w:rsid w:val="005374EE"/>
    <w:rsid w:val="00540830"/>
    <w:rsid w:val="0054159B"/>
    <w:rsid w:val="0054174C"/>
    <w:rsid w:val="0054205C"/>
    <w:rsid w:val="00542DF2"/>
    <w:rsid w:val="005430FD"/>
    <w:rsid w:val="005430FF"/>
    <w:rsid w:val="0054324A"/>
    <w:rsid w:val="0054364E"/>
    <w:rsid w:val="005436A6"/>
    <w:rsid w:val="00543B63"/>
    <w:rsid w:val="00543D20"/>
    <w:rsid w:val="00543E6A"/>
    <w:rsid w:val="005443EB"/>
    <w:rsid w:val="00544AE6"/>
    <w:rsid w:val="00544B9A"/>
    <w:rsid w:val="0054645B"/>
    <w:rsid w:val="00546F1C"/>
    <w:rsid w:val="00547659"/>
    <w:rsid w:val="00550025"/>
    <w:rsid w:val="0055022E"/>
    <w:rsid w:val="005507B5"/>
    <w:rsid w:val="005509BB"/>
    <w:rsid w:val="00551FEB"/>
    <w:rsid w:val="005528BA"/>
    <w:rsid w:val="00552F5E"/>
    <w:rsid w:val="005532F9"/>
    <w:rsid w:val="00553E14"/>
    <w:rsid w:val="00553FBD"/>
    <w:rsid w:val="0055440B"/>
    <w:rsid w:val="0055505E"/>
    <w:rsid w:val="00555263"/>
    <w:rsid w:val="00556247"/>
    <w:rsid w:val="005566C1"/>
    <w:rsid w:val="0055708D"/>
    <w:rsid w:val="0055761A"/>
    <w:rsid w:val="00560403"/>
    <w:rsid w:val="005605EF"/>
    <w:rsid w:val="00560F55"/>
    <w:rsid w:val="00561285"/>
    <w:rsid w:val="005615ED"/>
    <w:rsid w:val="00561CA6"/>
    <w:rsid w:val="00562F48"/>
    <w:rsid w:val="0056322D"/>
    <w:rsid w:val="005632F1"/>
    <w:rsid w:val="0056380E"/>
    <w:rsid w:val="005640F0"/>
    <w:rsid w:val="00565224"/>
    <w:rsid w:val="0056602B"/>
    <w:rsid w:val="00566399"/>
    <w:rsid w:val="00566428"/>
    <w:rsid w:val="0056717C"/>
    <w:rsid w:val="005678F1"/>
    <w:rsid w:val="00567EAE"/>
    <w:rsid w:val="00570386"/>
    <w:rsid w:val="00570FF7"/>
    <w:rsid w:val="00571CA4"/>
    <w:rsid w:val="0057210D"/>
    <w:rsid w:val="005741B9"/>
    <w:rsid w:val="00574CAC"/>
    <w:rsid w:val="00575E74"/>
    <w:rsid w:val="005768FF"/>
    <w:rsid w:val="00576E82"/>
    <w:rsid w:val="00577A49"/>
    <w:rsid w:val="0058063A"/>
    <w:rsid w:val="00580D90"/>
    <w:rsid w:val="0058140C"/>
    <w:rsid w:val="00581A01"/>
    <w:rsid w:val="00581AE8"/>
    <w:rsid w:val="00581D51"/>
    <w:rsid w:val="00581F87"/>
    <w:rsid w:val="005823AE"/>
    <w:rsid w:val="005826DC"/>
    <w:rsid w:val="005838C4"/>
    <w:rsid w:val="00583978"/>
    <w:rsid w:val="00583F09"/>
    <w:rsid w:val="00584085"/>
    <w:rsid w:val="005843D4"/>
    <w:rsid w:val="0058483F"/>
    <w:rsid w:val="00584A97"/>
    <w:rsid w:val="00584B5E"/>
    <w:rsid w:val="00585064"/>
    <w:rsid w:val="005865CC"/>
    <w:rsid w:val="00586B7D"/>
    <w:rsid w:val="00590A04"/>
    <w:rsid w:val="00590C17"/>
    <w:rsid w:val="00590ECF"/>
    <w:rsid w:val="00591237"/>
    <w:rsid w:val="00591B1C"/>
    <w:rsid w:val="00591F16"/>
    <w:rsid w:val="005920B7"/>
    <w:rsid w:val="0059231E"/>
    <w:rsid w:val="00592FE1"/>
    <w:rsid w:val="005933F8"/>
    <w:rsid w:val="00593515"/>
    <w:rsid w:val="005935C5"/>
    <w:rsid w:val="00593B49"/>
    <w:rsid w:val="00593D1C"/>
    <w:rsid w:val="00594E34"/>
    <w:rsid w:val="00595A15"/>
    <w:rsid w:val="00596A0B"/>
    <w:rsid w:val="00596E05"/>
    <w:rsid w:val="005970FA"/>
    <w:rsid w:val="005974D8"/>
    <w:rsid w:val="00597F3C"/>
    <w:rsid w:val="005A0405"/>
    <w:rsid w:val="005A0AF7"/>
    <w:rsid w:val="005A18BA"/>
    <w:rsid w:val="005A1E0A"/>
    <w:rsid w:val="005A1EEC"/>
    <w:rsid w:val="005A2298"/>
    <w:rsid w:val="005A2DB4"/>
    <w:rsid w:val="005A34C8"/>
    <w:rsid w:val="005A410B"/>
    <w:rsid w:val="005A462B"/>
    <w:rsid w:val="005A46F3"/>
    <w:rsid w:val="005A49E3"/>
    <w:rsid w:val="005A5436"/>
    <w:rsid w:val="005A55C5"/>
    <w:rsid w:val="005A5F7D"/>
    <w:rsid w:val="005A642E"/>
    <w:rsid w:val="005A6542"/>
    <w:rsid w:val="005A69BD"/>
    <w:rsid w:val="005A7C22"/>
    <w:rsid w:val="005B0874"/>
    <w:rsid w:val="005B095C"/>
    <w:rsid w:val="005B0C12"/>
    <w:rsid w:val="005B109A"/>
    <w:rsid w:val="005B1144"/>
    <w:rsid w:val="005B15A2"/>
    <w:rsid w:val="005B1757"/>
    <w:rsid w:val="005B3428"/>
    <w:rsid w:val="005B3EBF"/>
    <w:rsid w:val="005B413D"/>
    <w:rsid w:val="005B4C03"/>
    <w:rsid w:val="005B4CE3"/>
    <w:rsid w:val="005B4E26"/>
    <w:rsid w:val="005B4E52"/>
    <w:rsid w:val="005B4FC2"/>
    <w:rsid w:val="005B529F"/>
    <w:rsid w:val="005B5F39"/>
    <w:rsid w:val="005B63A5"/>
    <w:rsid w:val="005B66E2"/>
    <w:rsid w:val="005B7588"/>
    <w:rsid w:val="005B7B8A"/>
    <w:rsid w:val="005C06C8"/>
    <w:rsid w:val="005C0B68"/>
    <w:rsid w:val="005C1B3D"/>
    <w:rsid w:val="005C3803"/>
    <w:rsid w:val="005C3C58"/>
    <w:rsid w:val="005C4296"/>
    <w:rsid w:val="005C42A9"/>
    <w:rsid w:val="005C461C"/>
    <w:rsid w:val="005C4DA9"/>
    <w:rsid w:val="005C5196"/>
    <w:rsid w:val="005C532B"/>
    <w:rsid w:val="005C5411"/>
    <w:rsid w:val="005C5BFF"/>
    <w:rsid w:val="005C7540"/>
    <w:rsid w:val="005C7B71"/>
    <w:rsid w:val="005C7BA5"/>
    <w:rsid w:val="005D0555"/>
    <w:rsid w:val="005D0885"/>
    <w:rsid w:val="005D08FE"/>
    <w:rsid w:val="005D0987"/>
    <w:rsid w:val="005D1420"/>
    <w:rsid w:val="005D15C4"/>
    <w:rsid w:val="005D1617"/>
    <w:rsid w:val="005D1DB1"/>
    <w:rsid w:val="005D205D"/>
    <w:rsid w:val="005D2C75"/>
    <w:rsid w:val="005D3A98"/>
    <w:rsid w:val="005D3BF1"/>
    <w:rsid w:val="005D50EB"/>
    <w:rsid w:val="005D5B5C"/>
    <w:rsid w:val="005D5CA7"/>
    <w:rsid w:val="005D615C"/>
    <w:rsid w:val="005D7ABA"/>
    <w:rsid w:val="005E1087"/>
    <w:rsid w:val="005E1A9B"/>
    <w:rsid w:val="005E1DC7"/>
    <w:rsid w:val="005E213A"/>
    <w:rsid w:val="005E2B3D"/>
    <w:rsid w:val="005E2C9F"/>
    <w:rsid w:val="005E2CA8"/>
    <w:rsid w:val="005E4A83"/>
    <w:rsid w:val="005E4AC2"/>
    <w:rsid w:val="005E4B85"/>
    <w:rsid w:val="005E4C3B"/>
    <w:rsid w:val="005E5175"/>
    <w:rsid w:val="005E530A"/>
    <w:rsid w:val="005E5C57"/>
    <w:rsid w:val="005E64B8"/>
    <w:rsid w:val="005E6960"/>
    <w:rsid w:val="005E71E7"/>
    <w:rsid w:val="005E77E7"/>
    <w:rsid w:val="005E7929"/>
    <w:rsid w:val="005F0971"/>
    <w:rsid w:val="005F10A1"/>
    <w:rsid w:val="005F12C1"/>
    <w:rsid w:val="005F1523"/>
    <w:rsid w:val="005F24ED"/>
    <w:rsid w:val="005F289F"/>
    <w:rsid w:val="005F2B8B"/>
    <w:rsid w:val="005F2F55"/>
    <w:rsid w:val="005F43B8"/>
    <w:rsid w:val="005F4696"/>
    <w:rsid w:val="005F61B8"/>
    <w:rsid w:val="005F69C1"/>
    <w:rsid w:val="005F6AE1"/>
    <w:rsid w:val="005F73A6"/>
    <w:rsid w:val="0060060C"/>
    <w:rsid w:val="00602AE0"/>
    <w:rsid w:val="00603213"/>
    <w:rsid w:val="00603340"/>
    <w:rsid w:val="006042B6"/>
    <w:rsid w:val="006052F6"/>
    <w:rsid w:val="00605482"/>
    <w:rsid w:val="00605CA4"/>
    <w:rsid w:val="00606128"/>
    <w:rsid w:val="006063D9"/>
    <w:rsid w:val="006075B0"/>
    <w:rsid w:val="00607880"/>
    <w:rsid w:val="0060795D"/>
    <w:rsid w:val="00607A9E"/>
    <w:rsid w:val="0061066E"/>
    <w:rsid w:val="0061075A"/>
    <w:rsid w:val="0061111F"/>
    <w:rsid w:val="006146C4"/>
    <w:rsid w:val="00614B4F"/>
    <w:rsid w:val="00614CC9"/>
    <w:rsid w:val="00614F46"/>
    <w:rsid w:val="00615171"/>
    <w:rsid w:val="0061599D"/>
    <w:rsid w:val="006160A5"/>
    <w:rsid w:val="00616477"/>
    <w:rsid w:val="00617518"/>
    <w:rsid w:val="00617EF0"/>
    <w:rsid w:val="006200D8"/>
    <w:rsid w:val="006201A6"/>
    <w:rsid w:val="00620AC2"/>
    <w:rsid w:val="00620B77"/>
    <w:rsid w:val="00620B93"/>
    <w:rsid w:val="00621738"/>
    <w:rsid w:val="00621B81"/>
    <w:rsid w:val="00621EE0"/>
    <w:rsid w:val="00621FF3"/>
    <w:rsid w:val="006225A1"/>
    <w:rsid w:val="00623484"/>
    <w:rsid w:val="006234A2"/>
    <w:rsid w:val="006236D8"/>
    <w:rsid w:val="00623D6C"/>
    <w:rsid w:val="006240AD"/>
    <w:rsid w:val="0062513B"/>
    <w:rsid w:val="006252A1"/>
    <w:rsid w:val="00625B20"/>
    <w:rsid w:val="006260D5"/>
    <w:rsid w:val="00627102"/>
    <w:rsid w:val="00627C6A"/>
    <w:rsid w:val="00627E28"/>
    <w:rsid w:val="0063161D"/>
    <w:rsid w:val="00631D0A"/>
    <w:rsid w:val="006323FA"/>
    <w:rsid w:val="00632DF1"/>
    <w:rsid w:val="00634056"/>
    <w:rsid w:val="006347E8"/>
    <w:rsid w:val="00634A68"/>
    <w:rsid w:val="00634B08"/>
    <w:rsid w:val="006351F2"/>
    <w:rsid w:val="00635326"/>
    <w:rsid w:val="006353CF"/>
    <w:rsid w:val="00635844"/>
    <w:rsid w:val="00636760"/>
    <w:rsid w:val="00636C5A"/>
    <w:rsid w:val="00636DA6"/>
    <w:rsid w:val="006372BB"/>
    <w:rsid w:val="00637766"/>
    <w:rsid w:val="0064000B"/>
    <w:rsid w:val="00640678"/>
    <w:rsid w:val="00640A11"/>
    <w:rsid w:val="00640A40"/>
    <w:rsid w:val="00641DCF"/>
    <w:rsid w:val="00642A78"/>
    <w:rsid w:val="0064461F"/>
    <w:rsid w:val="00646320"/>
    <w:rsid w:val="0064632B"/>
    <w:rsid w:val="00646CE3"/>
    <w:rsid w:val="0064797E"/>
    <w:rsid w:val="00647AA3"/>
    <w:rsid w:val="00650759"/>
    <w:rsid w:val="00650A6D"/>
    <w:rsid w:val="00650E87"/>
    <w:rsid w:val="00651D1F"/>
    <w:rsid w:val="00652429"/>
    <w:rsid w:val="006529FB"/>
    <w:rsid w:val="00652AAD"/>
    <w:rsid w:val="00652DFC"/>
    <w:rsid w:val="0065303B"/>
    <w:rsid w:val="0065353A"/>
    <w:rsid w:val="00653C9B"/>
    <w:rsid w:val="00654036"/>
    <w:rsid w:val="00654E90"/>
    <w:rsid w:val="00655C6B"/>
    <w:rsid w:val="00655DBD"/>
    <w:rsid w:val="00656A7D"/>
    <w:rsid w:val="006573A1"/>
    <w:rsid w:val="00657D04"/>
    <w:rsid w:val="0066039C"/>
    <w:rsid w:val="00660E13"/>
    <w:rsid w:val="006619A7"/>
    <w:rsid w:val="00661B0E"/>
    <w:rsid w:val="00661C0F"/>
    <w:rsid w:val="00662C2E"/>
    <w:rsid w:val="00662E2B"/>
    <w:rsid w:val="00663049"/>
    <w:rsid w:val="00663FAF"/>
    <w:rsid w:val="00665246"/>
    <w:rsid w:val="00666A48"/>
    <w:rsid w:val="00667093"/>
    <w:rsid w:val="0066715A"/>
    <w:rsid w:val="0066725D"/>
    <w:rsid w:val="006678DC"/>
    <w:rsid w:val="00667D53"/>
    <w:rsid w:val="006703B1"/>
    <w:rsid w:val="00670C51"/>
    <w:rsid w:val="00670E8E"/>
    <w:rsid w:val="00671E38"/>
    <w:rsid w:val="00671E60"/>
    <w:rsid w:val="00672B72"/>
    <w:rsid w:val="006730D4"/>
    <w:rsid w:val="006735FA"/>
    <w:rsid w:val="00673C4C"/>
    <w:rsid w:val="006745B4"/>
    <w:rsid w:val="00675C08"/>
    <w:rsid w:val="006761B6"/>
    <w:rsid w:val="006762FD"/>
    <w:rsid w:val="00677C84"/>
    <w:rsid w:val="006801FC"/>
    <w:rsid w:val="00681EA3"/>
    <w:rsid w:val="00682A9C"/>
    <w:rsid w:val="00682EC6"/>
    <w:rsid w:val="006831E9"/>
    <w:rsid w:val="00683763"/>
    <w:rsid w:val="00684039"/>
    <w:rsid w:val="00684644"/>
    <w:rsid w:val="00684C27"/>
    <w:rsid w:val="00686484"/>
    <w:rsid w:val="0068717F"/>
    <w:rsid w:val="00687C55"/>
    <w:rsid w:val="006903A1"/>
    <w:rsid w:val="00690DB8"/>
    <w:rsid w:val="006912A8"/>
    <w:rsid w:val="0069196A"/>
    <w:rsid w:val="00691B48"/>
    <w:rsid w:val="00691B7B"/>
    <w:rsid w:val="00691BDA"/>
    <w:rsid w:val="00694144"/>
    <w:rsid w:val="006949BA"/>
    <w:rsid w:val="00695B97"/>
    <w:rsid w:val="006960A0"/>
    <w:rsid w:val="00696B5D"/>
    <w:rsid w:val="00697009"/>
    <w:rsid w:val="0069730A"/>
    <w:rsid w:val="00697663"/>
    <w:rsid w:val="006A02A9"/>
    <w:rsid w:val="006A0D2A"/>
    <w:rsid w:val="006A1766"/>
    <w:rsid w:val="006A1B4F"/>
    <w:rsid w:val="006A4921"/>
    <w:rsid w:val="006A54BB"/>
    <w:rsid w:val="006A6019"/>
    <w:rsid w:val="006B09BB"/>
    <w:rsid w:val="006B243B"/>
    <w:rsid w:val="006B276C"/>
    <w:rsid w:val="006B2D6A"/>
    <w:rsid w:val="006B30D4"/>
    <w:rsid w:val="006B47F5"/>
    <w:rsid w:val="006B48A4"/>
    <w:rsid w:val="006B4BF8"/>
    <w:rsid w:val="006B55AC"/>
    <w:rsid w:val="006B5C41"/>
    <w:rsid w:val="006B5F69"/>
    <w:rsid w:val="006B6302"/>
    <w:rsid w:val="006B6BD4"/>
    <w:rsid w:val="006B79AA"/>
    <w:rsid w:val="006C0276"/>
    <w:rsid w:val="006C0CD7"/>
    <w:rsid w:val="006C0F4D"/>
    <w:rsid w:val="006C20C2"/>
    <w:rsid w:val="006C3030"/>
    <w:rsid w:val="006C3886"/>
    <w:rsid w:val="006C3991"/>
    <w:rsid w:val="006C3BDA"/>
    <w:rsid w:val="006C3FEA"/>
    <w:rsid w:val="006C494A"/>
    <w:rsid w:val="006C4E01"/>
    <w:rsid w:val="006C52FF"/>
    <w:rsid w:val="006C5448"/>
    <w:rsid w:val="006C5B35"/>
    <w:rsid w:val="006C655C"/>
    <w:rsid w:val="006C6CE7"/>
    <w:rsid w:val="006C6DA4"/>
    <w:rsid w:val="006C73ED"/>
    <w:rsid w:val="006C78AE"/>
    <w:rsid w:val="006C7920"/>
    <w:rsid w:val="006C7DEF"/>
    <w:rsid w:val="006D0790"/>
    <w:rsid w:val="006D0806"/>
    <w:rsid w:val="006D09DD"/>
    <w:rsid w:val="006D2276"/>
    <w:rsid w:val="006D28D3"/>
    <w:rsid w:val="006D2ADC"/>
    <w:rsid w:val="006D34C4"/>
    <w:rsid w:val="006D3DE9"/>
    <w:rsid w:val="006D428A"/>
    <w:rsid w:val="006D429A"/>
    <w:rsid w:val="006D4EF7"/>
    <w:rsid w:val="006D5011"/>
    <w:rsid w:val="006D52B0"/>
    <w:rsid w:val="006D59B0"/>
    <w:rsid w:val="006D6B3E"/>
    <w:rsid w:val="006D760C"/>
    <w:rsid w:val="006D7818"/>
    <w:rsid w:val="006E01E9"/>
    <w:rsid w:val="006E0223"/>
    <w:rsid w:val="006E0381"/>
    <w:rsid w:val="006E0528"/>
    <w:rsid w:val="006E08FF"/>
    <w:rsid w:val="006E17BC"/>
    <w:rsid w:val="006E1E44"/>
    <w:rsid w:val="006E2681"/>
    <w:rsid w:val="006E2EDA"/>
    <w:rsid w:val="006E391C"/>
    <w:rsid w:val="006E397C"/>
    <w:rsid w:val="006E3DED"/>
    <w:rsid w:val="006E4B25"/>
    <w:rsid w:val="006E5A70"/>
    <w:rsid w:val="006E6555"/>
    <w:rsid w:val="006E7624"/>
    <w:rsid w:val="006E7970"/>
    <w:rsid w:val="006E7F86"/>
    <w:rsid w:val="006F0C78"/>
    <w:rsid w:val="006F10B1"/>
    <w:rsid w:val="006F10DD"/>
    <w:rsid w:val="006F1549"/>
    <w:rsid w:val="006F23DC"/>
    <w:rsid w:val="006F240A"/>
    <w:rsid w:val="006F2ADC"/>
    <w:rsid w:val="006F2B1B"/>
    <w:rsid w:val="006F2BA4"/>
    <w:rsid w:val="006F3129"/>
    <w:rsid w:val="006F4132"/>
    <w:rsid w:val="006F499B"/>
    <w:rsid w:val="006F4B78"/>
    <w:rsid w:val="006F62BC"/>
    <w:rsid w:val="006F64BE"/>
    <w:rsid w:val="006F68A2"/>
    <w:rsid w:val="006F72AD"/>
    <w:rsid w:val="006F7850"/>
    <w:rsid w:val="007010CE"/>
    <w:rsid w:val="0070121D"/>
    <w:rsid w:val="007013BC"/>
    <w:rsid w:val="00701D13"/>
    <w:rsid w:val="007021AD"/>
    <w:rsid w:val="00702290"/>
    <w:rsid w:val="00702450"/>
    <w:rsid w:val="00702DBA"/>
    <w:rsid w:val="007040E9"/>
    <w:rsid w:val="007047DB"/>
    <w:rsid w:val="00704C37"/>
    <w:rsid w:val="007059A7"/>
    <w:rsid w:val="007059AD"/>
    <w:rsid w:val="007063D4"/>
    <w:rsid w:val="00706ABB"/>
    <w:rsid w:val="0070705E"/>
    <w:rsid w:val="007077E5"/>
    <w:rsid w:val="00707A3A"/>
    <w:rsid w:val="00707C42"/>
    <w:rsid w:val="0071050D"/>
    <w:rsid w:val="00710770"/>
    <w:rsid w:val="00710824"/>
    <w:rsid w:val="00710D49"/>
    <w:rsid w:val="00713216"/>
    <w:rsid w:val="00713369"/>
    <w:rsid w:val="00713EC3"/>
    <w:rsid w:val="00714448"/>
    <w:rsid w:val="007156AC"/>
    <w:rsid w:val="00716857"/>
    <w:rsid w:val="00716AEF"/>
    <w:rsid w:val="00717282"/>
    <w:rsid w:val="00717ABD"/>
    <w:rsid w:val="00717ACE"/>
    <w:rsid w:val="00717FD7"/>
    <w:rsid w:val="00720949"/>
    <w:rsid w:val="007212F7"/>
    <w:rsid w:val="00721561"/>
    <w:rsid w:val="00721752"/>
    <w:rsid w:val="00722B3B"/>
    <w:rsid w:val="00722CF0"/>
    <w:rsid w:val="00722DD4"/>
    <w:rsid w:val="00723C60"/>
    <w:rsid w:val="00724806"/>
    <w:rsid w:val="00724CBA"/>
    <w:rsid w:val="00725F2C"/>
    <w:rsid w:val="00726972"/>
    <w:rsid w:val="00727037"/>
    <w:rsid w:val="007270C1"/>
    <w:rsid w:val="00727370"/>
    <w:rsid w:val="00730127"/>
    <w:rsid w:val="00731D93"/>
    <w:rsid w:val="00731FF7"/>
    <w:rsid w:val="00732111"/>
    <w:rsid w:val="0073238B"/>
    <w:rsid w:val="007348B9"/>
    <w:rsid w:val="007359B7"/>
    <w:rsid w:val="00735E25"/>
    <w:rsid w:val="00736545"/>
    <w:rsid w:val="00737EE7"/>
    <w:rsid w:val="0074064E"/>
    <w:rsid w:val="007413B9"/>
    <w:rsid w:val="00741BFF"/>
    <w:rsid w:val="00742972"/>
    <w:rsid w:val="00742D65"/>
    <w:rsid w:val="00743C75"/>
    <w:rsid w:val="00744568"/>
    <w:rsid w:val="007452B2"/>
    <w:rsid w:val="007455B5"/>
    <w:rsid w:val="00747250"/>
    <w:rsid w:val="00747C9D"/>
    <w:rsid w:val="00747D05"/>
    <w:rsid w:val="00750BFC"/>
    <w:rsid w:val="007510F9"/>
    <w:rsid w:val="00751C0F"/>
    <w:rsid w:val="00751F02"/>
    <w:rsid w:val="00751FC9"/>
    <w:rsid w:val="00752036"/>
    <w:rsid w:val="00752315"/>
    <w:rsid w:val="00753610"/>
    <w:rsid w:val="007543B0"/>
    <w:rsid w:val="0075555B"/>
    <w:rsid w:val="007568A9"/>
    <w:rsid w:val="00757C9B"/>
    <w:rsid w:val="00760563"/>
    <w:rsid w:val="007606D5"/>
    <w:rsid w:val="00760FE5"/>
    <w:rsid w:val="0076116D"/>
    <w:rsid w:val="007616BB"/>
    <w:rsid w:val="007620C5"/>
    <w:rsid w:val="007622A9"/>
    <w:rsid w:val="0076246E"/>
    <w:rsid w:val="00762D78"/>
    <w:rsid w:val="00763213"/>
    <w:rsid w:val="00764BDC"/>
    <w:rsid w:val="00764E09"/>
    <w:rsid w:val="00767B6E"/>
    <w:rsid w:val="007710AF"/>
    <w:rsid w:val="00771AC3"/>
    <w:rsid w:val="007724D2"/>
    <w:rsid w:val="00773A6E"/>
    <w:rsid w:val="007742BE"/>
    <w:rsid w:val="00774849"/>
    <w:rsid w:val="00774F82"/>
    <w:rsid w:val="00775AD5"/>
    <w:rsid w:val="0077639A"/>
    <w:rsid w:val="00776903"/>
    <w:rsid w:val="00776AB5"/>
    <w:rsid w:val="0078100C"/>
    <w:rsid w:val="0078121D"/>
    <w:rsid w:val="007813C7"/>
    <w:rsid w:val="00781444"/>
    <w:rsid w:val="007819FC"/>
    <w:rsid w:val="00782780"/>
    <w:rsid w:val="007827EA"/>
    <w:rsid w:val="007838F4"/>
    <w:rsid w:val="00783A6E"/>
    <w:rsid w:val="00783DA6"/>
    <w:rsid w:val="00784113"/>
    <w:rsid w:val="007841DD"/>
    <w:rsid w:val="00784BE2"/>
    <w:rsid w:val="007854E6"/>
    <w:rsid w:val="00785990"/>
    <w:rsid w:val="00785D2D"/>
    <w:rsid w:val="0078772C"/>
    <w:rsid w:val="007878E4"/>
    <w:rsid w:val="00790400"/>
    <w:rsid w:val="0079045D"/>
    <w:rsid w:val="007905B2"/>
    <w:rsid w:val="007908F2"/>
    <w:rsid w:val="00790D65"/>
    <w:rsid w:val="00791408"/>
    <w:rsid w:val="00791824"/>
    <w:rsid w:val="007925BD"/>
    <w:rsid w:val="007937B5"/>
    <w:rsid w:val="00793A23"/>
    <w:rsid w:val="00794311"/>
    <w:rsid w:val="00794908"/>
    <w:rsid w:val="00796B5E"/>
    <w:rsid w:val="007A07C5"/>
    <w:rsid w:val="007A0AEE"/>
    <w:rsid w:val="007A148E"/>
    <w:rsid w:val="007A1EBF"/>
    <w:rsid w:val="007A1FCB"/>
    <w:rsid w:val="007A203D"/>
    <w:rsid w:val="007A22B8"/>
    <w:rsid w:val="007A232D"/>
    <w:rsid w:val="007A2761"/>
    <w:rsid w:val="007A2DD5"/>
    <w:rsid w:val="007A3387"/>
    <w:rsid w:val="007A3CC1"/>
    <w:rsid w:val="007A4272"/>
    <w:rsid w:val="007A43CA"/>
    <w:rsid w:val="007A47D5"/>
    <w:rsid w:val="007A4BA6"/>
    <w:rsid w:val="007A5191"/>
    <w:rsid w:val="007A5768"/>
    <w:rsid w:val="007A6991"/>
    <w:rsid w:val="007A7452"/>
    <w:rsid w:val="007A76DF"/>
    <w:rsid w:val="007B012A"/>
    <w:rsid w:val="007B0491"/>
    <w:rsid w:val="007B0943"/>
    <w:rsid w:val="007B0E63"/>
    <w:rsid w:val="007B2510"/>
    <w:rsid w:val="007B337A"/>
    <w:rsid w:val="007B3AE8"/>
    <w:rsid w:val="007B3D5C"/>
    <w:rsid w:val="007B3DFE"/>
    <w:rsid w:val="007B4131"/>
    <w:rsid w:val="007B4335"/>
    <w:rsid w:val="007B4418"/>
    <w:rsid w:val="007B4FCD"/>
    <w:rsid w:val="007B559A"/>
    <w:rsid w:val="007B6E8F"/>
    <w:rsid w:val="007B7156"/>
    <w:rsid w:val="007B7460"/>
    <w:rsid w:val="007B74D8"/>
    <w:rsid w:val="007B78CB"/>
    <w:rsid w:val="007B7BE4"/>
    <w:rsid w:val="007B7F67"/>
    <w:rsid w:val="007C173D"/>
    <w:rsid w:val="007C1822"/>
    <w:rsid w:val="007C2380"/>
    <w:rsid w:val="007C2E95"/>
    <w:rsid w:val="007C34FB"/>
    <w:rsid w:val="007C3A9E"/>
    <w:rsid w:val="007C3E82"/>
    <w:rsid w:val="007C4079"/>
    <w:rsid w:val="007C44A6"/>
    <w:rsid w:val="007C4971"/>
    <w:rsid w:val="007C4A07"/>
    <w:rsid w:val="007C56B0"/>
    <w:rsid w:val="007C64EB"/>
    <w:rsid w:val="007C6748"/>
    <w:rsid w:val="007C6F14"/>
    <w:rsid w:val="007C7420"/>
    <w:rsid w:val="007D018F"/>
    <w:rsid w:val="007D0396"/>
    <w:rsid w:val="007D212F"/>
    <w:rsid w:val="007D24C0"/>
    <w:rsid w:val="007D2761"/>
    <w:rsid w:val="007D314C"/>
    <w:rsid w:val="007D36DB"/>
    <w:rsid w:val="007D3A37"/>
    <w:rsid w:val="007D3AA0"/>
    <w:rsid w:val="007D3B44"/>
    <w:rsid w:val="007D3C69"/>
    <w:rsid w:val="007D42F4"/>
    <w:rsid w:val="007D459E"/>
    <w:rsid w:val="007D478F"/>
    <w:rsid w:val="007D4D8C"/>
    <w:rsid w:val="007D528E"/>
    <w:rsid w:val="007D57C3"/>
    <w:rsid w:val="007D5A11"/>
    <w:rsid w:val="007D5BFE"/>
    <w:rsid w:val="007D5ECF"/>
    <w:rsid w:val="007D635E"/>
    <w:rsid w:val="007D6634"/>
    <w:rsid w:val="007D697B"/>
    <w:rsid w:val="007D727B"/>
    <w:rsid w:val="007E00E1"/>
    <w:rsid w:val="007E060C"/>
    <w:rsid w:val="007E09B1"/>
    <w:rsid w:val="007E1795"/>
    <w:rsid w:val="007E1CF7"/>
    <w:rsid w:val="007E2815"/>
    <w:rsid w:val="007E2F0D"/>
    <w:rsid w:val="007E318F"/>
    <w:rsid w:val="007E382B"/>
    <w:rsid w:val="007E3E7E"/>
    <w:rsid w:val="007E4811"/>
    <w:rsid w:val="007E6CA8"/>
    <w:rsid w:val="007E6EB0"/>
    <w:rsid w:val="007E75D1"/>
    <w:rsid w:val="007E774E"/>
    <w:rsid w:val="007E7D28"/>
    <w:rsid w:val="007F0287"/>
    <w:rsid w:val="007F1D6A"/>
    <w:rsid w:val="007F241C"/>
    <w:rsid w:val="007F2487"/>
    <w:rsid w:val="007F24FD"/>
    <w:rsid w:val="007F2D42"/>
    <w:rsid w:val="007F38AB"/>
    <w:rsid w:val="007F3E56"/>
    <w:rsid w:val="007F509E"/>
    <w:rsid w:val="007F5970"/>
    <w:rsid w:val="007F5A3C"/>
    <w:rsid w:val="007F5B3A"/>
    <w:rsid w:val="007F5C75"/>
    <w:rsid w:val="007F5DE8"/>
    <w:rsid w:val="007F6349"/>
    <w:rsid w:val="007F7076"/>
    <w:rsid w:val="007F71F1"/>
    <w:rsid w:val="007F727A"/>
    <w:rsid w:val="007F77B6"/>
    <w:rsid w:val="007F7CD0"/>
    <w:rsid w:val="00800A75"/>
    <w:rsid w:val="00801DD3"/>
    <w:rsid w:val="00801DE2"/>
    <w:rsid w:val="0080282F"/>
    <w:rsid w:val="008034CF"/>
    <w:rsid w:val="00803AFA"/>
    <w:rsid w:val="00803EF3"/>
    <w:rsid w:val="00805CC9"/>
    <w:rsid w:val="00805EB4"/>
    <w:rsid w:val="008064A9"/>
    <w:rsid w:val="008104B1"/>
    <w:rsid w:val="00810603"/>
    <w:rsid w:val="00811CF2"/>
    <w:rsid w:val="0081244E"/>
    <w:rsid w:val="0081358D"/>
    <w:rsid w:val="008135EF"/>
    <w:rsid w:val="008146FF"/>
    <w:rsid w:val="0081499B"/>
    <w:rsid w:val="00814A67"/>
    <w:rsid w:val="00814BDD"/>
    <w:rsid w:val="00814FDE"/>
    <w:rsid w:val="00815212"/>
    <w:rsid w:val="00815524"/>
    <w:rsid w:val="0081669D"/>
    <w:rsid w:val="00816D81"/>
    <w:rsid w:val="00816DFD"/>
    <w:rsid w:val="008170BE"/>
    <w:rsid w:val="00817B83"/>
    <w:rsid w:val="00820F9B"/>
    <w:rsid w:val="00821766"/>
    <w:rsid w:val="00821938"/>
    <w:rsid w:val="00821CC0"/>
    <w:rsid w:val="00822468"/>
    <w:rsid w:val="00823739"/>
    <w:rsid w:val="00823A00"/>
    <w:rsid w:val="008244C4"/>
    <w:rsid w:val="00824687"/>
    <w:rsid w:val="0082487F"/>
    <w:rsid w:val="00824A2E"/>
    <w:rsid w:val="00824AE3"/>
    <w:rsid w:val="00825447"/>
    <w:rsid w:val="008254AE"/>
    <w:rsid w:val="00825AD8"/>
    <w:rsid w:val="0082685C"/>
    <w:rsid w:val="00827940"/>
    <w:rsid w:val="00827FBB"/>
    <w:rsid w:val="008305B8"/>
    <w:rsid w:val="008305DB"/>
    <w:rsid w:val="00831C64"/>
    <w:rsid w:val="008322B3"/>
    <w:rsid w:val="0083324D"/>
    <w:rsid w:val="0083334D"/>
    <w:rsid w:val="008333CE"/>
    <w:rsid w:val="0083378A"/>
    <w:rsid w:val="0083425C"/>
    <w:rsid w:val="0083429F"/>
    <w:rsid w:val="00834DB4"/>
    <w:rsid w:val="008363DF"/>
    <w:rsid w:val="00836AB3"/>
    <w:rsid w:val="00836BC7"/>
    <w:rsid w:val="00837590"/>
    <w:rsid w:val="008378E1"/>
    <w:rsid w:val="00840179"/>
    <w:rsid w:val="008406AC"/>
    <w:rsid w:val="00840CEB"/>
    <w:rsid w:val="00841733"/>
    <w:rsid w:val="00842227"/>
    <w:rsid w:val="008424AC"/>
    <w:rsid w:val="00842513"/>
    <w:rsid w:val="008434D1"/>
    <w:rsid w:val="008438A5"/>
    <w:rsid w:val="00844183"/>
    <w:rsid w:val="00844306"/>
    <w:rsid w:val="00844C15"/>
    <w:rsid w:val="00845F99"/>
    <w:rsid w:val="00846046"/>
    <w:rsid w:val="008478A7"/>
    <w:rsid w:val="00850030"/>
    <w:rsid w:val="008507AF"/>
    <w:rsid w:val="00850BC6"/>
    <w:rsid w:val="008513B7"/>
    <w:rsid w:val="00851692"/>
    <w:rsid w:val="008522F9"/>
    <w:rsid w:val="008525E2"/>
    <w:rsid w:val="00852A6B"/>
    <w:rsid w:val="008532B9"/>
    <w:rsid w:val="008536DB"/>
    <w:rsid w:val="00853BC2"/>
    <w:rsid w:val="0085464E"/>
    <w:rsid w:val="00854B0D"/>
    <w:rsid w:val="0085535A"/>
    <w:rsid w:val="008558C9"/>
    <w:rsid w:val="008559BB"/>
    <w:rsid w:val="00855FBA"/>
    <w:rsid w:val="0085650D"/>
    <w:rsid w:val="00856FF8"/>
    <w:rsid w:val="00857315"/>
    <w:rsid w:val="0085798E"/>
    <w:rsid w:val="00857C96"/>
    <w:rsid w:val="008600BA"/>
    <w:rsid w:val="00860FBE"/>
    <w:rsid w:val="0086236A"/>
    <w:rsid w:val="00862D33"/>
    <w:rsid w:val="00863880"/>
    <w:rsid w:val="00863B5C"/>
    <w:rsid w:val="00864BB3"/>
    <w:rsid w:val="00864C1B"/>
    <w:rsid w:val="00865D6C"/>
    <w:rsid w:val="00865DB6"/>
    <w:rsid w:val="00865E10"/>
    <w:rsid w:val="0086627F"/>
    <w:rsid w:val="0086645E"/>
    <w:rsid w:val="0086719F"/>
    <w:rsid w:val="00867C71"/>
    <w:rsid w:val="00870758"/>
    <w:rsid w:val="00870B9F"/>
    <w:rsid w:val="008724C6"/>
    <w:rsid w:val="008728BE"/>
    <w:rsid w:val="008729A7"/>
    <w:rsid w:val="00872A9F"/>
    <w:rsid w:val="00872BC0"/>
    <w:rsid w:val="008734BC"/>
    <w:rsid w:val="008738B4"/>
    <w:rsid w:val="00875629"/>
    <w:rsid w:val="00875CEA"/>
    <w:rsid w:val="0087664D"/>
    <w:rsid w:val="0087687F"/>
    <w:rsid w:val="00876E2C"/>
    <w:rsid w:val="0087709B"/>
    <w:rsid w:val="00877C1A"/>
    <w:rsid w:val="00877EC8"/>
    <w:rsid w:val="00880CB7"/>
    <w:rsid w:val="00881654"/>
    <w:rsid w:val="00882ADC"/>
    <w:rsid w:val="00883E89"/>
    <w:rsid w:val="00883F91"/>
    <w:rsid w:val="00884BB4"/>
    <w:rsid w:val="00884EB3"/>
    <w:rsid w:val="00886591"/>
    <w:rsid w:val="00886B79"/>
    <w:rsid w:val="00890C15"/>
    <w:rsid w:val="00890E0D"/>
    <w:rsid w:val="00891762"/>
    <w:rsid w:val="00891959"/>
    <w:rsid w:val="00892629"/>
    <w:rsid w:val="00892762"/>
    <w:rsid w:val="00893917"/>
    <w:rsid w:val="00895A98"/>
    <w:rsid w:val="008966F0"/>
    <w:rsid w:val="00896B35"/>
    <w:rsid w:val="008970E3"/>
    <w:rsid w:val="008A02BA"/>
    <w:rsid w:val="008A0DDE"/>
    <w:rsid w:val="008A23C0"/>
    <w:rsid w:val="008A28F9"/>
    <w:rsid w:val="008A2C40"/>
    <w:rsid w:val="008A3F38"/>
    <w:rsid w:val="008A4283"/>
    <w:rsid w:val="008A43E2"/>
    <w:rsid w:val="008A4557"/>
    <w:rsid w:val="008A4645"/>
    <w:rsid w:val="008A5B1F"/>
    <w:rsid w:val="008A5D96"/>
    <w:rsid w:val="008A65A0"/>
    <w:rsid w:val="008B0138"/>
    <w:rsid w:val="008B018C"/>
    <w:rsid w:val="008B0560"/>
    <w:rsid w:val="008B0783"/>
    <w:rsid w:val="008B0EB9"/>
    <w:rsid w:val="008B0FA2"/>
    <w:rsid w:val="008B13D0"/>
    <w:rsid w:val="008B1DD0"/>
    <w:rsid w:val="008B1EDA"/>
    <w:rsid w:val="008B3228"/>
    <w:rsid w:val="008B39D1"/>
    <w:rsid w:val="008B4236"/>
    <w:rsid w:val="008B493E"/>
    <w:rsid w:val="008B6DBA"/>
    <w:rsid w:val="008B76A7"/>
    <w:rsid w:val="008B7719"/>
    <w:rsid w:val="008C01E5"/>
    <w:rsid w:val="008C02CB"/>
    <w:rsid w:val="008C0395"/>
    <w:rsid w:val="008C18FD"/>
    <w:rsid w:val="008C19F2"/>
    <w:rsid w:val="008C2472"/>
    <w:rsid w:val="008C318C"/>
    <w:rsid w:val="008C3420"/>
    <w:rsid w:val="008C5459"/>
    <w:rsid w:val="008C78C8"/>
    <w:rsid w:val="008C7905"/>
    <w:rsid w:val="008D0648"/>
    <w:rsid w:val="008D0905"/>
    <w:rsid w:val="008D0FD8"/>
    <w:rsid w:val="008D10EF"/>
    <w:rsid w:val="008D1187"/>
    <w:rsid w:val="008D1BB2"/>
    <w:rsid w:val="008D1FD4"/>
    <w:rsid w:val="008D26C7"/>
    <w:rsid w:val="008D2C2E"/>
    <w:rsid w:val="008D2FB6"/>
    <w:rsid w:val="008D3767"/>
    <w:rsid w:val="008D439F"/>
    <w:rsid w:val="008D4F0E"/>
    <w:rsid w:val="008D5E8A"/>
    <w:rsid w:val="008D688D"/>
    <w:rsid w:val="008D70F4"/>
    <w:rsid w:val="008D7487"/>
    <w:rsid w:val="008D7524"/>
    <w:rsid w:val="008D75E8"/>
    <w:rsid w:val="008E04DB"/>
    <w:rsid w:val="008E0B70"/>
    <w:rsid w:val="008E0F51"/>
    <w:rsid w:val="008E10E9"/>
    <w:rsid w:val="008E10EF"/>
    <w:rsid w:val="008E128F"/>
    <w:rsid w:val="008E138D"/>
    <w:rsid w:val="008E2821"/>
    <w:rsid w:val="008E3F85"/>
    <w:rsid w:val="008E4526"/>
    <w:rsid w:val="008E496C"/>
    <w:rsid w:val="008E4C54"/>
    <w:rsid w:val="008E4F4F"/>
    <w:rsid w:val="008E5268"/>
    <w:rsid w:val="008E5602"/>
    <w:rsid w:val="008E5D09"/>
    <w:rsid w:val="008E657A"/>
    <w:rsid w:val="008E67D3"/>
    <w:rsid w:val="008E6C5B"/>
    <w:rsid w:val="008E7252"/>
    <w:rsid w:val="008E726A"/>
    <w:rsid w:val="008E74D1"/>
    <w:rsid w:val="008E7710"/>
    <w:rsid w:val="008E7C8E"/>
    <w:rsid w:val="008F04BD"/>
    <w:rsid w:val="008F053C"/>
    <w:rsid w:val="008F0AB6"/>
    <w:rsid w:val="008F0B1A"/>
    <w:rsid w:val="008F0E7F"/>
    <w:rsid w:val="008F250B"/>
    <w:rsid w:val="008F2C6B"/>
    <w:rsid w:val="008F46B9"/>
    <w:rsid w:val="008F49C5"/>
    <w:rsid w:val="008F4F8F"/>
    <w:rsid w:val="008F55E3"/>
    <w:rsid w:val="008F5EAD"/>
    <w:rsid w:val="008F606B"/>
    <w:rsid w:val="008F6DCA"/>
    <w:rsid w:val="009004D4"/>
    <w:rsid w:val="00900E3A"/>
    <w:rsid w:val="00901122"/>
    <w:rsid w:val="00901A60"/>
    <w:rsid w:val="00901E1F"/>
    <w:rsid w:val="00901F0B"/>
    <w:rsid w:val="00901F94"/>
    <w:rsid w:val="009027D2"/>
    <w:rsid w:val="00903510"/>
    <w:rsid w:val="00903523"/>
    <w:rsid w:val="009036A4"/>
    <w:rsid w:val="00903CA8"/>
    <w:rsid w:val="00903D29"/>
    <w:rsid w:val="00903F34"/>
    <w:rsid w:val="00904147"/>
    <w:rsid w:val="00906519"/>
    <w:rsid w:val="009078F5"/>
    <w:rsid w:val="00910218"/>
    <w:rsid w:val="0091039F"/>
    <w:rsid w:val="00912102"/>
    <w:rsid w:val="009121E7"/>
    <w:rsid w:val="009122A1"/>
    <w:rsid w:val="009122C0"/>
    <w:rsid w:val="00912316"/>
    <w:rsid w:val="00912429"/>
    <w:rsid w:val="009126F3"/>
    <w:rsid w:val="009129CC"/>
    <w:rsid w:val="009136BF"/>
    <w:rsid w:val="00913A64"/>
    <w:rsid w:val="00914155"/>
    <w:rsid w:val="009143DC"/>
    <w:rsid w:val="009146B3"/>
    <w:rsid w:val="0091493B"/>
    <w:rsid w:val="0091493E"/>
    <w:rsid w:val="00915D0D"/>
    <w:rsid w:val="00915EA4"/>
    <w:rsid w:val="00915FAB"/>
    <w:rsid w:val="009168D0"/>
    <w:rsid w:val="00916D70"/>
    <w:rsid w:val="00916F1D"/>
    <w:rsid w:val="00916F96"/>
    <w:rsid w:val="009170FC"/>
    <w:rsid w:val="00917E05"/>
    <w:rsid w:val="00917F01"/>
    <w:rsid w:val="00920080"/>
    <w:rsid w:val="009200D2"/>
    <w:rsid w:val="00920345"/>
    <w:rsid w:val="009205D6"/>
    <w:rsid w:val="00920B4A"/>
    <w:rsid w:val="009211F6"/>
    <w:rsid w:val="00921BB6"/>
    <w:rsid w:val="00921D1C"/>
    <w:rsid w:val="00922A66"/>
    <w:rsid w:val="00922B86"/>
    <w:rsid w:val="00922DB9"/>
    <w:rsid w:val="009239E4"/>
    <w:rsid w:val="00924504"/>
    <w:rsid w:val="009245D7"/>
    <w:rsid w:val="009251C9"/>
    <w:rsid w:val="00926AC4"/>
    <w:rsid w:val="00927547"/>
    <w:rsid w:val="0092771C"/>
    <w:rsid w:val="0093002C"/>
    <w:rsid w:val="00930147"/>
    <w:rsid w:val="00930407"/>
    <w:rsid w:val="00930E63"/>
    <w:rsid w:val="009316B7"/>
    <w:rsid w:val="00931BCB"/>
    <w:rsid w:val="00932679"/>
    <w:rsid w:val="00932A39"/>
    <w:rsid w:val="0093300D"/>
    <w:rsid w:val="009331DB"/>
    <w:rsid w:val="00934005"/>
    <w:rsid w:val="0093438E"/>
    <w:rsid w:val="00934A95"/>
    <w:rsid w:val="00934D0F"/>
    <w:rsid w:val="00935580"/>
    <w:rsid w:val="009358F8"/>
    <w:rsid w:val="00936368"/>
    <w:rsid w:val="00936E05"/>
    <w:rsid w:val="00937718"/>
    <w:rsid w:val="00937B36"/>
    <w:rsid w:val="009403A0"/>
    <w:rsid w:val="00940B59"/>
    <w:rsid w:val="00941268"/>
    <w:rsid w:val="0094181A"/>
    <w:rsid w:val="0094191E"/>
    <w:rsid w:val="00941D36"/>
    <w:rsid w:val="00941D81"/>
    <w:rsid w:val="00942436"/>
    <w:rsid w:val="009425DF"/>
    <w:rsid w:val="00942C26"/>
    <w:rsid w:val="00942F2B"/>
    <w:rsid w:val="00942F97"/>
    <w:rsid w:val="009430A5"/>
    <w:rsid w:val="009432CB"/>
    <w:rsid w:val="00943716"/>
    <w:rsid w:val="00943BF6"/>
    <w:rsid w:val="009440E8"/>
    <w:rsid w:val="009446ED"/>
    <w:rsid w:val="009458EB"/>
    <w:rsid w:val="00946A92"/>
    <w:rsid w:val="009470C5"/>
    <w:rsid w:val="0094756A"/>
    <w:rsid w:val="00947D67"/>
    <w:rsid w:val="00947F47"/>
    <w:rsid w:val="00950B4B"/>
    <w:rsid w:val="00951B2B"/>
    <w:rsid w:val="00951E43"/>
    <w:rsid w:val="00951F63"/>
    <w:rsid w:val="00952478"/>
    <w:rsid w:val="00952738"/>
    <w:rsid w:val="00952831"/>
    <w:rsid w:val="00952981"/>
    <w:rsid w:val="00952A3D"/>
    <w:rsid w:val="00953162"/>
    <w:rsid w:val="0095344E"/>
    <w:rsid w:val="00954D1A"/>
    <w:rsid w:val="009551DB"/>
    <w:rsid w:val="00955214"/>
    <w:rsid w:val="009552D4"/>
    <w:rsid w:val="00955D7B"/>
    <w:rsid w:val="009568B5"/>
    <w:rsid w:val="009568FE"/>
    <w:rsid w:val="00956BAC"/>
    <w:rsid w:val="0095737F"/>
    <w:rsid w:val="00957A1D"/>
    <w:rsid w:val="00960955"/>
    <w:rsid w:val="00962691"/>
    <w:rsid w:val="00962B26"/>
    <w:rsid w:val="00963818"/>
    <w:rsid w:val="00964208"/>
    <w:rsid w:val="00965C10"/>
    <w:rsid w:val="00965C63"/>
    <w:rsid w:val="0096733E"/>
    <w:rsid w:val="0096742A"/>
    <w:rsid w:val="009677C1"/>
    <w:rsid w:val="00970646"/>
    <w:rsid w:val="00970CAF"/>
    <w:rsid w:val="00970F81"/>
    <w:rsid w:val="009710DA"/>
    <w:rsid w:val="0097186F"/>
    <w:rsid w:val="0097236D"/>
    <w:rsid w:val="0097239B"/>
    <w:rsid w:val="009727EC"/>
    <w:rsid w:val="00973300"/>
    <w:rsid w:val="0097351D"/>
    <w:rsid w:val="00974544"/>
    <w:rsid w:val="00974CD0"/>
    <w:rsid w:val="00974DAF"/>
    <w:rsid w:val="009763AA"/>
    <w:rsid w:val="0098019D"/>
    <w:rsid w:val="00980F0D"/>
    <w:rsid w:val="0098165B"/>
    <w:rsid w:val="00981724"/>
    <w:rsid w:val="009819BD"/>
    <w:rsid w:val="00982309"/>
    <w:rsid w:val="009828A8"/>
    <w:rsid w:val="0098384C"/>
    <w:rsid w:val="00985537"/>
    <w:rsid w:val="009858B6"/>
    <w:rsid w:val="00986DD4"/>
    <w:rsid w:val="00987B1B"/>
    <w:rsid w:val="0099030A"/>
    <w:rsid w:val="009907E6"/>
    <w:rsid w:val="00990C3D"/>
    <w:rsid w:val="00990C57"/>
    <w:rsid w:val="00992410"/>
    <w:rsid w:val="0099297B"/>
    <w:rsid w:val="00992D1E"/>
    <w:rsid w:val="009930B2"/>
    <w:rsid w:val="00993893"/>
    <w:rsid w:val="00993908"/>
    <w:rsid w:val="009949F8"/>
    <w:rsid w:val="009950A2"/>
    <w:rsid w:val="00995505"/>
    <w:rsid w:val="009955BB"/>
    <w:rsid w:val="00995D34"/>
    <w:rsid w:val="0099619C"/>
    <w:rsid w:val="009971EC"/>
    <w:rsid w:val="00997D8D"/>
    <w:rsid w:val="009A0168"/>
    <w:rsid w:val="009A0751"/>
    <w:rsid w:val="009A077C"/>
    <w:rsid w:val="009A0788"/>
    <w:rsid w:val="009A178B"/>
    <w:rsid w:val="009A193A"/>
    <w:rsid w:val="009A278E"/>
    <w:rsid w:val="009A3838"/>
    <w:rsid w:val="009A395A"/>
    <w:rsid w:val="009A3D83"/>
    <w:rsid w:val="009A4E61"/>
    <w:rsid w:val="009A64BB"/>
    <w:rsid w:val="009A6E96"/>
    <w:rsid w:val="009A72D1"/>
    <w:rsid w:val="009B0273"/>
    <w:rsid w:val="009B071F"/>
    <w:rsid w:val="009B19F1"/>
    <w:rsid w:val="009B1CDC"/>
    <w:rsid w:val="009B337B"/>
    <w:rsid w:val="009B4189"/>
    <w:rsid w:val="009B4B4C"/>
    <w:rsid w:val="009B5017"/>
    <w:rsid w:val="009B61F1"/>
    <w:rsid w:val="009B6890"/>
    <w:rsid w:val="009B6F76"/>
    <w:rsid w:val="009B7286"/>
    <w:rsid w:val="009B7519"/>
    <w:rsid w:val="009B7674"/>
    <w:rsid w:val="009C00AF"/>
    <w:rsid w:val="009C0835"/>
    <w:rsid w:val="009C0A33"/>
    <w:rsid w:val="009C0A7A"/>
    <w:rsid w:val="009C1107"/>
    <w:rsid w:val="009C155F"/>
    <w:rsid w:val="009C2223"/>
    <w:rsid w:val="009C35D5"/>
    <w:rsid w:val="009C3DFA"/>
    <w:rsid w:val="009C419B"/>
    <w:rsid w:val="009C449E"/>
    <w:rsid w:val="009C480B"/>
    <w:rsid w:val="009C499C"/>
    <w:rsid w:val="009C4C5F"/>
    <w:rsid w:val="009C5E66"/>
    <w:rsid w:val="009C5EAC"/>
    <w:rsid w:val="009C643E"/>
    <w:rsid w:val="009C6F38"/>
    <w:rsid w:val="009C75A5"/>
    <w:rsid w:val="009C7D54"/>
    <w:rsid w:val="009D021F"/>
    <w:rsid w:val="009D04EC"/>
    <w:rsid w:val="009D057B"/>
    <w:rsid w:val="009D0C82"/>
    <w:rsid w:val="009D0D86"/>
    <w:rsid w:val="009D12BD"/>
    <w:rsid w:val="009D16CC"/>
    <w:rsid w:val="009D1CAF"/>
    <w:rsid w:val="009D1E82"/>
    <w:rsid w:val="009D1EF4"/>
    <w:rsid w:val="009D29AA"/>
    <w:rsid w:val="009D3687"/>
    <w:rsid w:val="009D46AE"/>
    <w:rsid w:val="009D5233"/>
    <w:rsid w:val="009D55C3"/>
    <w:rsid w:val="009D5741"/>
    <w:rsid w:val="009D5D3E"/>
    <w:rsid w:val="009D6100"/>
    <w:rsid w:val="009D6D35"/>
    <w:rsid w:val="009D79D3"/>
    <w:rsid w:val="009D7D33"/>
    <w:rsid w:val="009E1597"/>
    <w:rsid w:val="009E199A"/>
    <w:rsid w:val="009E1A0A"/>
    <w:rsid w:val="009E26A1"/>
    <w:rsid w:val="009E2982"/>
    <w:rsid w:val="009E2AB9"/>
    <w:rsid w:val="009E3E8B"/>
    <w:rsid w:val="009E5099"/>
    <w:rsid w:val="009E5516"/>
    <w:rsid w:val="009E560D"/>
    <w:rsid w:val="009E58A6"/>
    <w:rsid w:val="009F0252"/>
    <w:rsid w:val="009F1547"/>
    <w:rsid w:val="009F27B3"/>
    <w:rsid w:val="009F2A43"/>
    <w:rsid w:val="009F398E"/>
    <w:rsid w:val="009F3FC7"/>
    <w:rsid w:val="009F5022"/>
    <w:rsid w:val="009F5AA4"/>
    <w:rsid w:val="009F623B"/>
    <w:rsid w:val="009F6246"/>
    <w:rsid w:val="009F6E28"/>
    <w:rsid w:val="009F7E33"/>
    <w:rsid w:val="009F7FAE"/>
    <w:rsid w:val="00A00CF8"/>
    <w:rsid w:val="00A00DA5"/>
    <w:rsid w:val="00A019C2"/>
    <w:rsid w:val="00A01A36"/>
    <w:rsid w:val="00A01B25"/>
    <w:rsid w:val="00A01B45"/>
    <w:rsid w:val="00A024BC"/>
    <w:rsid w:val="00A02CE8"/>
    <w:rsid w:val="00A02EAA"/>
    <w:rsid w:val="00A0338C"/>
    <w:rsid w:val="00A034BC"/>
    <w:rsid w:val="00A03DF8"/>
    <w:rsid w:val="00A03DFA"/>
    <w:rsid w:val="00A04627"/>
    <w:rsid w:val="00A04F57"/>
    <w:rsid w:val="00A051EB"/>
    <w:rsid w:val="00A0570E"/>
    <w:rsid w:val="00A059F9"/>
    <w:rsid w:val="00A0686E"/>
    <w:rsid w:val="00A07A41"/>
    <w:rsid w:val="00A106CC"/>
    <w:rsid w:val="00A108BD"/>
    <w:rsid w:val="00A10A4A"/>
    <w:rsid w:val="00A117DD"/>
    <w:rsid w:val="00A12417"/>
    <w:rsid w:val="00A13091"/>
    <w:rsid w:val="00A14C15"/>
    <w:rsid w:val="00A1573D"/>
    <w:rsid w:val="00A159D3"/>
    <w:rsid w:val="00A1670E"/>
    <w:rsid w:val="00A167C3"/>
    <w:rsid w:val="00A16D1F"/>
    <w:rsid w:val="00A17480"/>
    <w:rsid w:val="00A20049"/>
    <w:rsid w:val="00A208EF"/>
    <w:rsid w:val="00A20A91"/>
    <w:rsid w:val="00A21582"/>
    <w:rsid w:val="00A227E2"/>
    <w:rsid w:val="00A2291F"/>
    <w:rsid w:val="00A22A54"/>
    <w:rsid w:val="00A22AAC"/>
    <w:rsid w:val="00A23CB0"/>
    <w:rsid w:val="00A24595"/>
    <w:rsid w:val="00A247EB"/>
    <w:rsid w:val="00A24AA2"/>
    <w:rsid w:val="00A2506F"/>
    <w:rsid w:val="00A25346"/>
    <w:rsid w:val="00A25F06"/>
    <w:rsid w:val="00A26DF2"/>
    <w:rsid w:val="00A27DEE"/>
    <w:rsid w:val="00A27E20"/>
    <w:rsid w:val="00A304E2"/>
    <w:rsid w:val="00A308F1"/>
    <w:rsid w:val="00A309D3"/>
    <w:rsid w:val="00A32165"/>
    <w:rsid w:val="00A32453"/>
    <w:rsid w:val="00A324A7"/>
    <w:rsid w:val="00A329F2"/>
    <w:rsid w:val="00A32F2D"/>
    <w:rsid w:val="00A333A5"/>
    <w:rsid w:val="00A3527D"/>
    <w:rsid w:val="00A3557C"/>
    <w:rsid w:val="00A36172"/>
    <w:rsid w:val="00A367FA"/>
    <w:rsid w:val="00A36BEF"/>
    <w:rsid w:val="00A370CB"/>
    <w:rsid w:val="00A404F5"/>
    <w:rsid w:val="00A40EF9"/>
    <w:rsid w:val="00A41062"/>
    <w:rsid w:val="00A429AE"/>
    <w:rsid w:val="00A42D49"/>
    <w:rsid w:val="00A42F55"/>
    <w:rsid w:val="00A4331B"/>
    <w:rsid w:val="00A43320"/>
    <w:rsid w:val="00A44F74"/>
    <w:rsid w:val="00A4562B"/>
    <w:rsid w:val="00A45B1C"/>
    <w:rsid w:val="00A46155"/>
    <w:rsid w:val="00A466F1"/>
    <w:rsid w:val="00A4781C"/>
    <w:rsid w:val="00A5065F"/>
    <w:rsid w:val="00A513A6"/>
    <w:rsid w:val="00A514C6"/>
    <w:rsid w:val="00A5173A"/>
    <w:rsid w:val="00A51C59"/>
    <w:rsid w:val="00A51D9A"/>
    <w:rsid w:val="00A535E5"/>
    <w:rsid w:val="00A54577"/>
    <w:rsid w:val="00A558AC"/>
    <w:rsid w:val="00A559BD"/>
    <w:rsid w:val="00A55D5C"/>
    <w:rsid w:val="00A60175"/>
    <w:rsid w:val="00A606B7"/>
    <w:rsid w:val="00A60B20"/>
    <w:rsid w:val="00A61381"/>
    <w:rsid w:val="00A62039"/>
    <w:rsid w:val="00A62CCB"/>
    <w:rsid w:val="00A634AA"/>
    <w:rsid w:val="00A635D3"/>
    <w:rsid w:val="00A63C71"/>
    <w:rsid w:val="00A64F00"/>
    <w:rsid w:val="00A659EF"/>
    <w:rsid w:val="00A65CE8"/>
    <w:rsid w:val="00A65F77"/>
    <w:rsid w:val="00A66246"/>
    <w:rsid w:val="00A6634B"/>
    <w:rsid w:val="00A666B0"/>
    <w:rsid w:val="00A668C3"/>
    <w:rsid w:val="00A66BED"/>
    <w:rsid w:val="00A66F14"/>
    <w:rsid w:val="00A6707E"/>
    <w:rsid w:val="00A67923"/>
    <w:rsid w:val="00A67C12"/>
    <w:rsid w:val="00A67D87"/>
    <w:rsid w:val="00A70769"/>
    <w:rsid w:val="00A70B3B"/>
    <w:rsid w:val="00A70DAF"/>
    <w:rsid w:val="00A714D6"/>
    <w:rsid w:val="00A72D55"/>
    <w:rsid w:val="00A72E0E"/>
    <w:rsid w:val="00A73A25"/>
    <w:rsid w:val="00A73E7E"/>
    <w:rsid w:val="00A7404A"/>
    <w:rsid w:val="00A742BA"/>
    <w:rsid w:val="00A74301"/>
    <w:rsid w:val="00A7443B"/>
    <w:rsid w:val="00A7464F"/>
    <w:rsid w:val="00A75C72"/>
    <w:rsid w:val="00A75F8D"/>
    <w:rsid w:val="00A7768D"/>
    <w:rsid w:val="00A77985"/>
    <w:rsid w:val="00A80034"/>
    <w:rsid w:val="00A80D4E"/>
    <w:rsid w:val="00A8160A"/>
    <w:rsid w:val="00A82960"/>
    <w:rsid w:val="00A82CAB"/>
    <w:rsid w:val="00A833D9"/>
    <w:rsid w:val="00A83D9E"/>
    <w:rsid w:val="00A84FA3"/>
    <w:rsid w:val="00A8501B"/>
    <w:rsid w:val="00A85644"/>
    <w:rsid w:val="00A85786"/>
    <w:rsid w:val="00A860DA"/>
    <w:rsid w:val="00A86942"/>
    <w:rsid w:val="00A90031"/>
    <w:rsid w:val="00A910F0"/>
    <w:rsid w:val="00A91821"/>
    <w:rsid w:val="00A94AB5"/>
    <w:rsid w:val="00A952B2"/>
    <w:rsid w:val="00A95BDA"/>
    <w:rsid w:val="00A95BE9"/>
    <w:rsid w:val="00A96ECC"/>
    <w:rsid w:val="00A9759D"/>
    <w:rsid w:val="00A97DA0"/>
    <w:rsid w:val="00AA01BE"/>
    <w:rsid w:val="00AA034C"/>
    <w:rsid w:val="00AA16D0"/>
    <w:rsid w:val="00AA19A1"/>
    <w:rsid w:val="00AA1B97"/>
    <w:rsid w:val="00AA204C"/>
    <w:rsid w:val="00AA271E"/>
    <w:rsid w:val="00AA2B22"/>
    <w:rsid w:val="00AA2DF8"/>
    <w:rsid w:val="00AA5539"/>
    <w:rsid w:val="00AA5C75"/>
    <w:rsid w:val="00AA65E8"/>
    <w:rsid w:val="00AA6B98"/>
    <w:rsid w:val="00AA7016"/>
    <w:rsid w:val="00AA792C"/>
    <w:rsid w:val="00AA7E2D"/>
    <w:rsid w:val="00AB0CE0"/>
    <w:rsid w:val="00AB14B6"/>
    <w:rsid w:val="00AB2504"/>
    <w:rsid w:val="00AB250A"/>
    <w:rsid w:val="00AB270A"/>
    <w:rsid w:val="00AB2889"/>
    <w:rsid w:val="00AB2BE2"/>
    <w:rsid w:val="00AB2D7C"/>
    <w:rsid w:val="00AB2E35"/>
    <w:rsid w:val="00AB2F18"/>
    <w:rsid w:val="00AB33BC"/>
    <w:rsid w:val="00AB3F68"/>
    <w:rsid w:val="00AB42A6"/>
    <w:rsid w:val="00AB4312"/>
    <w:rsid w:val="00AB43A0"/>
    <w:rsid w:val="00AB45E7"/>
    <w:rsid w:val="00AB472B"/>
    <w:rsid w:val="00AB4852"/>
    <w:rsid w:val="00AB4873"/>
    <w:rsid w:val="00AB5041"/>
    <w:rsid w:val="00AB5CD2"/>
    <w:rsid w:val="00AB793A"/>
    <w:rsid w:val="00AB7C95"/>
    <w:rsid w:val="00AB7DBD"/>
    <w:rsid w:val="00AC02C8"/>
    <w:rsid w:val="00AC1061"/>
    <w:rsid w:val="00AC17BA"/>
    <w:rsid w:val="00AC2F6E"/>
    <w:rsid w:val="00AC3300"/>
    <w:rsid w:val="00AC3A73"/>
    <w:rsid w:val="00AC3A87"/>
    <w:rsid w:val="00AC3D9F"/>
    <w:rsid w:val="00AC42DA"/>
    <w:rsid w:val="00AC43CA"/>
    <w:rsid w:val="00AC446B"/>
    <w:rsid w:val="00AC459C"/>
    <w:rsid w:val="00AC4906"/>
    <w:rsid w:val="00AC57B8"/>
    <w:rsid w:val="00AC5EAF"/>
    <w:rsid w:val="00AC67B3"/>
    <w:rsid w:val="00AC6A34"/>
    <w:rsid w:val="00AD01D4"/>
    <w:rsid w:val="00AD0C21"/>
    <w:rsid w:val="00AD0DBF"/>
    <w:rsid w:val="00AD0ED3"/>
    <w:rsid w:val="00AD219A"/>
    <w:rsid w:val="00AD2643"/>
    <w:rsid w:val="00AD2E77"/>
    <w:rsid w:val="00AD3026"/>
    <w:rsid w:val="00AD32A2"/>
    <w:rsid w:val="00AD36CA"/>
    <w:rsid w:val="00AD390D"/>
    <w:rsid w:val="00AD3D25"/>
    <w:rsid w:val="00AD41AF"/>
    <w:rsid w:val="00AD4319"/>
    <w:rsid w:val="00AD4AF1"/>
    <w:rsid w:val="00AD6354"/>
    <w:rsid w:val="00AD6861"/>
    <w:rsid w:val="00AD6DAF"/>
    <w:rsid w:val="00AD7695"/>
    <w:rsid w:val="00AE0B4F"/>
    <w:rsid w:val="00AE1071"/>
    <w:rsid w:val="00AE14CC"/>
    <w:rsid w:val="00AE26A8"/>
    <w:rsid w:val="00AE2CCE"/>
    <w:rsid w:val="00AE33FF"/>
    <w:rsid w:val="00AE35DA"/>
    <w:rsid w:val="00AE4FE2"/>
    <w:rsid w:val="00AE5FFD"/>
    <w:rsid w:val="00AE60D6"/>
    <w:rsid w:val="00AE6231"/>
    <w:rsid w:val="00AE6584"/>
    <w:rsid w:val="00AE7E07"/>
    <w:rsid w:val="00AF03AA"/>
    <w:rsid w:val="00AF03E9"/>
    <w:rsid w:val="00AF05A0"/>
    <w:rsid w:val="00AF0698"/>
    <w:rsid w:val="00AF0BC6"/>
    <w:rsid w:val="00AF164F"/>
    <w:rsid w:val="00AF34B3"/>
    <w:rsid w:val="00AF3934"/>
    <w:rsid w:val="00AF4493"/>
    <w:rsid w:val="00AF45F8"/>
    <w:rsid w:val="00AF4AFC"/>
    <w:rsid w:val="00AF4E31"/>
    <w:rsid w:val="00AF4FD9"/>
    <w:rsid w:val="00AF5203"/>
    <w:rsid w:val="00AF7E18"/>
    <w:rsid w:val="00B00EE9"/>
    <w:rsid w:val="00B00F32"/>
    <w:rsid w:val="00B014E3"/>
    <w:rsid w:val="00B015F0"/>
    <w:rsid w:val="00B016E8"/>
    <w:rsid w:val="00B02655"/>
    <w:rsid w:val="00B037E1"/>
    <w:rsid w:val="00B038C3"/>
    <w:rsid w:val="00B03C03"/>
    <w:rsid w:val="00B043F7"/>
    <w:rsid w:val="00B046C9"/>
    <w:rsid w:val="00B0514F"/>
    <w:rsid w:val="00B051A1"/>
    <w:rsid w:val="00B05489"/>
    <w:rsid w:val="00B05763"/>
    <w:rsid w:val="00B05852"/>
    <w:rsid w:val="00B05BA5"/>
    <w:rsid w:val="00B07350"/>
    <w:rsid w:val="00B0746E"/>
    <w:rsid w:val="00B07BA6"/>
    <w:rsid w:val="00B101A3"/>
    <w:rsid w:val="00B104F8"/>
    <w:rsid w:val="00B111A0"/>
    <w:rsid w:val="00B11DA9"/>
    <w:rsid w:val="00B1311C"/>
    <w:rsid w:val="00B1413D"/>
    <w:rsid w:val="00B1447D"/>
    <w:rsid w:val="00B15F01"/>
    <w:rsid w:val="00B15FC5"/>
    <w:rsid w:val="00B16DE8"/>
    <w:rsid w:val="00B204A4"/>
    <w:rsid w:val="00B2059D"/>
    <w:rsid w:val="00B2082B"/>
    <w:rsid w:val="00B20A6D"/>
    <w:rsid w:val="00B20E5C"/>
    <w:rsid w:val="00B20F81"/>
    <w:rsid w:val="00B21183"/>
    <w:rsid w:val="00B227DB"/>
    <w:rsid w:val="00B228CD"/>
    <w:rsid w:val="00B22FF4"/>
    <w:rsid w:val="00B233BB"/>
    <w:rsid w:val="00B23EF8"/>
    <w:rsid w:val="00B24FFC"/>
    <w:rsid w:val="00B25A91"/>
    <w:rsid w:val="00B25C20"/>
    <w:rsid w:val="00B268CE"/>
    <w:rsid w:val="00B273A9"/>
    <w:rsid w:val="00B274B8"/>
    <w:rsid w:val="00B30EBF"/>
    <w:rsid w:val="00B3130C"/>
    <w:rsid w:val="00B320E9"/>
    <w:rsid w:val="00B322EA"/>
    <w:rsid w:val="00B32FDD"/>
    <w:rsid w:val="00B3341E"/>
    <w:rsid w:val="00B33A1A"/>
    <w:rsid w:val="00B33DAE"/>
    <w:rsid w:val="00B3465B"/>
    <w:rsid w:val="00B36200"/>
    <w:rsid w:val="00B37458"/>
    <w:rsid w:val="00B37C9F"/>
    <w:rsid w:val="00B40143"/>
    <w:rsid w:val="00B40AA0"/>
    <w:rsid w:val="00B41195"/>
    <w:rsid w:val="00B41817"/>
    <w:rsid w:val="00B41997"/>
    <w:rsid w:val="00B42D8D"/>
    <w:rsid w:val="00B433B2"/>
    <w:rsid w:val="00B433DF"/>
    <w:rsid w:val="00B4353F"/>
    <w:rsid w:val="00B4426C"/>
    <w:rsid w:val="00B44C3F"/>
    <w:rsid w:val="00B4568D"/>
    <w:rsid w:val="00B4574D"/>
    <w:rsid w:val="00B45976"/>
    <w:rsid w:val="00B45EA2"/>
    <w:rsid w:val="00B46D22"/>
    <w:rsid w:val="00B46F4E"/>
    <w:rsid w:val="00B470FF"/>
    <w:rsid w:val="00B47BA9"/>
    <w:rsid w:val="00B509A2"/>
    <w:rsid w:val="00B51013"/>
    <w:rsid w:val="00B51310"/>
    <w:rsid w:val="00B51B49"/>
    <w:rsid w:val="00B52340"/>
    <w:rsid w:val="00B5280C"/>
    <w:rsid w:val="00B52866"/>
    <w:rsid w:val="00B5299B"/>
    <w:rsid w:val="00B52EE2"/>
    <w:rsid w:val="00B535E9"/>
    <w:rsid w:val="00B559E6"/>
    <w:rsid w:val="00B55AFA"/>
    <w:rsid w:val="00B55D33"/>
    <w:rsid w:val="00B55DC4"/>
    <w:rsid w:val="00B55F3F"/>
    <w:rsid w:val="00B56534"/>
    <w:rsid w:val="00B56BC4"/>
    <w:rsid w:val="00B56F60"/>
    <w:rsid w:val="00B57126"/>
    <w:rsid w:val="00B57742"/>
    <w:rsid w:val="00B602C5"/>
    <w:rsid w:val="00B60353"/>
    <w:rsid w:val="00B60A36"/>
    <w:rsid w:val="00B60D33"/>
    <w:rsid w:val="00B60E76"/>
    <w:rsid w:val="00B612D6"/>
    <w:rsid w:val="00B61585"/>
    <w:rsid w:val="00B6313B"/>
    <w:rsid w:val="00B6382E"/>
    <w:rsid w:val="00B646BC"/>
    <w:rsid w:val="00B65A86"/>
    <w:rsid w:val="00B65CF8"/>
    <w:rsid w:val="00B70763"/>
    <w:rsid w:val="00B707A7"/>
    <w:rsid w:val="00B70EC6"/>
    <w:rsid w:val="00B71820"/>
    <w:rsid w:val="00B7239B"/>
    <w:rsid w:val="00B732FA"/>
    <w:rsid w:val="00B77395"/>
    <w:rsid w:val="00B77556"/>
    <w:rsid w:val="00B77FBB"/>
    <w:rsid w:val="00B801DB"/>
    <w:rsid w:val="00B80B4F"/>
    <w:rsid w:val="00B81395"/>
    <w:rsid w:val="00B8235E"/>
    <w:rsid w:val="00B82BDB"/>
    <w:rsid w:val="00B82E20"/>
    <w:rsid w:val="00B82E39"/>
    <w:rsid w:val="00B830F4"/>
    <w:rsid w:val="00B8310C"/>
    <w:rsid w:val="00B8450E"/>
    <w:rsid w:val="00B84B7D"/>
    <w:rsid w:val="00B858C2"/>
    <w:rsid w:val="00B85AAE"/>
    <w:rsid w:val="00B8615D"/>
    <w:rsid w:val="00B8648C"/>
    <w:rsid w:val="00B866A0"/>
    <w:rsid w:val="00B86B44"/>
    <w:rsid w:val="00B86F6C"/>
    <w:rsid w:val="00B87981"/>
    <w:rsid w:val="00B87C55"/>
    <w:rsid w:val="00B90667"/>
    <w:rsid w:val="00B92B7D"/>
    <w:rsid w:val="00B9313A"/>
    <w:rsid w:val="00B93A80"/>
    <w:rsid w:val="00B94786"/>
    <w:rsid w:val="00B94A45"/>
    <w:rsid w:val="00B94BD1"/>
    <w:rsid w:val="00B95595"/>
    <w:rsid w:val="00B95BED"/>
    <w:rsid w:val="00B95E35"/>
    <w:rsid w:val="00B96064"/>
    <w:rsid w:val="00B96AFC"/>
    <w:rsid w:val="00B96B37"/>
    <w:rsid w:val="00B96F5F"/>
    <w:rsid w:val="00B96FAE"/>
    <w:rsid w:val="00B97AF8"/>
    <w:rsid w:val="00B97EC3"/>
    <w:rsid w:val="00BA11D0"/>
    <w:rsid w:val="00BA1CA3"/>
    <w:rsid w:val="00BA1F49"/>
    <w:rsid w:val="00BA2B07"/>
    <w:rsid w:val="00BA2F56"/>
    <w:rsid w:val="00BA32AB"/>
    <w:rsid w:val="00BA3433"/>
    <w:rsid w:val="00BA3BE9"/>
    <w:rsid w:val="00BA3FCD"/>
    <w:rsid w:val="00BA43AD"/>
    <w:rsid w:val="00BA4883"/>
    <w:rsid w:val="00BA5766"/>
    <w:rsid w:val="00BA58E8"/>
    <w:rsid w:val="00BA5DEB"/>
    <w:rsid w:val="00BA6302"/>
    <w:rsid w:val="00BA77D7"/>
    <w:rsid w:val="00BA7B34"/>
    <w:rsid w:val="00BA7C22"/>
    <w:rsid w:val="00BB0053"/>
    <w:rsid w:val="00BB05AB"/>
    <w:rsid w:val="00BB1D93"/>
    <w:rsid w:val="00BB210A"/>
    <w:rsid w:val="00BB255E"/>
    <w:rsid w:val="00BB3038"/>
    <w:rsid w:val="00BB42AC"/>
    <w:rsid w:val="00BB5FBB"/>
    <w:rsid w:val="00BB6552"/>
    <w:rsid w:val="00BB67A3"/>
    <w:rsid w:val="00BB6AD9"/>
    <w:rsid w:val="00BB6B4E"/>
    <w:rsid w:val="00BB6B4F"/>
    <w:rsid w:val="00BB7075"/>
    <w:rsid w:val="00BB7F6C"/>
    <w:rsid w:val="00BC034E"/>
    <w:rsid w:val="00BC194B"/>
    <w:rsid w:val="00BC397F"/>
    <w:rsid w:val="00BC3E7D"/>
    <w:rsid w:val="00BC4505"/>
    <w:rsid w:val="00BC4922"/>
    <w:rsid w:val="00BC49A1"/>
    <w:rsid w:val="00BC67F8"/>
    <w:rsid w:val="00BC6A49"/>
    <w:rsid w:val="00BC6D3B"/>
    <w:rsid w:val="00BC741B"/>
    <w:rsid w:val="00BD1192"/>
    <w:rsid w:val="00BD148D"/>
    <w:rsid w:val="00BD3216"/>
    <w:rsid w:val="00BD360E"/>
    <w:rsid w:val="00BD3E44"/>
    <w:rsid w:val="00BD4545"/>
    <w:rsid w:val="00BD4A97"/>
    <w:rsid w:val="00BD535B"/>
    <w:rsid w:val="00BD631C"/>
    <w:rsid w:val="00BD7870"/>
    <w:rsid w:val="00BD7C68"/>
    <w:rsid w:val="00BD7E61"/>
    <w:rsid w:val="00BE01D1"/>
    <w:rsid w:val="00BE1219"/>
    <w:rsid w:val="00BE28B4"/>
    <w:rsid w:val="00BE3F84"/>
    <w:rsid w:val="00BE41A9"/>
    <w:rsid w:val="00BE41FA"/>
    <w:rsid w:val="00BE5052"/>
    <w:rsid w:val="00BE5F56"/>
    <w:rsid w:val="00BE6058"/>
    <w:rsid w:val="00BE6A9B"/>
    <w:rsid w:val="00BE6FD1"/>
    <w:rsid w:val="00BE7085"/>
    <w:rsid w:val="00BE71B2"/>
    <w:rsid w:val="00BE73FF"/>
    <w:rsid w:val="00BE7F1A"/>
    <w:rsid w:val="00BF01CC"/>
    <w:rsid w:val="00BF06E2"/>
    <w:rsid w:val="00BF1D3E"/>
    <w:rsid w:val="00BF215D"/>
    <w:rsid w:val="00BF31DC"/>
    <w:rsid w:val="00BF3CC6"/>
    <w:rsid w:val="00BF6601"/>
    <w:rsid w:val="00BF66C6"/>
    <w:rsid w:val="00BF6DF3"/>
    <w:rsid w:val="00BF7028"/>
    <w:rsid w:val="00BF71BA"/>
    <w:rsid w:val="00BF74B2"/>
    <w:rsid w:val="00BF7D33"/>
    <w:rsid w:val="00C00281"/>
    <w:rsid w:val="00C002FA"/>
    <w:rsid w:val="00C02E6C"/>
    <w:rsid w:val="00C03022"/>
    <w:rsid w:val="00C03198"/>
    <w:rsid w:val="00C03776"/>
    <w:rsid w:val="00C0460E"/>
    <w:rsid w:val="00C05E45"/>
    <w:rsid w:val="00C05F12"/>
    <w:rsid w:val="00C06012"/>
    <w:rsid w:val="00C06655"/>
    <w:rsid w:val="00C1004F"/>
    <w:rsid w:val="00C119B6"/>
    <w:rsid w:val="00C122C8"/>
    <w:rsid w:val="00C127C5"/>
    <w:rsid w:val="00C12D1E"/>
    <w:rsid w:val="00C12E49"/>
    <w:rsid w:val="00C13821"/>
    <w:rsid w:val="00C144C3"/>
    <w:rsid w:val="00C145FD"/>
    <w:rsid w:val="00C14614"/>
    <w:rsid w:val="00C155B4"/>
    <w:rsid w:val="00C158A1"/>
    <w:rsid w:val="00C159C0"/>
    <w:rsid w:val="00C159FB"/>
    <w:rsid w:val="00C160C3"/>
    <w:rsid w:val="00C1689D"/>
    <w:rsid w:val="00C16B53"/>
    <w:rsid w:val="00C16C9D"/>
    <w:rsid w:val="00C16FF9"/>
    <w:rsid w:val="00C21982"/>
    <w:rsid w:val="00C223F2"/>
    <w:rsid w:val="00C2330E"/>
    <w:rsid w:val="00C23549"/>
    <w:rsid w:val="00C23B8F"/>
    <w:rsid w:val="00C23CDC"/>
    <w:rsid w:val="00C23FB8"/>
    <w:rsid w:val="00C26154"/>
    <w:rsid w:val="00C262AF"/>
    <w:rsid w:val="00C26BD5"/>
    <w:rsid w:val="00C3088F"/>
    <w:rsid w:val="00C30CA5"/>
    <w:rsid w:val="00C311EA"/>
    <w:rsid w:val="00C3256E"/>
    <w:rsid w:val="00C326CF"/>
    <w:rsid w:val="00C32DFA"/>
    <w:rsid w:val="00C32E2C"/>
    <w:rsid w:val="00C33130"/>
    <w:rsid w:val="00C34ABA"/>
    <w:rsid w:val="00C34D7A"/>
    <w:rsid w:val="00C3650A"/>
    <w:rsid w:val="00C36A3F"/>
    <w:rsid w:val="00C373D2"/>
    <w:rsid w:val="00C37D21"/>
    <w:rsid w:val="00C400E2"/>
    <w:rsid w:val="00C40147"/>
    <w:rsid w:val="00C40249"/>
    <w:rsid w:val="00C40A28"/>
    <w:rsid w:val="00C413D4"/>
    <w:rsid w:val="00C4221D"/>
    <w:rsid w:val="00C42256"/>
    <w:rsid w:val="00C429AB"/>
    <w:rsid w:val="00C431DF"/>
    <w:rsid w:val="00C4369D"/>
    <w:rsid w:val="00C43D99"/>
    <w:rsid w:val="00C43E0A"/>
    <w:rsid w:val="00C44863"/>
    <w:rsid w:val="00C4654A"/>
    <w:rsid w:val="00C46A55"/>
    <w:rsid w:val="00C5031E"/>
    <w:rsid w:val="00C503D2"/>
    <w:rsid w:val="00C50912"/>
    <w:rsid w:val="00C50926"/>
    <w:rsid w:val="00C511C7"/>
    <w:rsid w:val="00C52324"/>
    <w:rsid w:val="00C526FB"/>
    <w:rsid w:val="00C5364B"/>
    <w:rsid w:val="00C53ADD"/>
    <w:rsid w:val="00C53EBF"/>
    <w:rsid w:val="00C53FA6"/>
    <w:rsid w:val="00C54021"/>
    <w:rsid w:val="00C54225"/>
    <w:rsid w:val="00C54888"/>
    <w:rsid w:val="00C54C8F"/>
    <w:rsid w:val="00C54FDA"/>
    <w:rsid w:val="00C54FE7"/>
    <w:rsid w:val="00C552A9"/>
    <w:rsid w:val="00C554CF"/>
    <w:rsid w:val="00C55ABE"/>
    <w:rsid w:val="00C62273"/>
    <w:rsid w:val="00C63DA5"/>
    <w:rsid w:val="00C648E8"/>
    <w:rsid w:val="00C656CD"/>
    <w:rsid w:val="00C660CA"/>
    <w:rsid w:val="00C674F8"/>
    <w:rsid w:val="00C67877"/>
    <w:rsid w:val="00C70186"/>
    <w:rsid w:val="00C70CCA"/>
    <w:rsid w:val="00C70F06"/>
    <w:rsid w:val="00C714AE"/>
    <w:rsid w:val="00C722F2"/>
    <w:rsid w:val="00C72D7F"/>
    <w:rsid w:val="00C72DD9"/>
    <w:rsid w:val="00C73215"/>
    <w:rsid w:val="00C73F19"/>
    <w:rsid w:val="00C74588"/>
    <w:rsid w:val="00C75655"/>
    <w:rsid w:val="00C77364"/>
    <w:rsid w:val="00C814D0"/>
    <w:rsid w:val="00C8175E"/>
    <w:rsid w:val="00C817B2"/>
    <w:rsid w:val="00C82D40"/>
    <w:rsid w:val="00C82DE5"/>
    <w:rsid w:val="00C83F34"/>
    <w:rsid w:val="00C84009"/>
    <w:rsid w:val="00C8460B"/>
    <w:rsid w:val="00C85079"/>
    <w:rsid w:val="00C854A2"/>
    <w:rsid w:val="00C85970"/>
    <w:rsid w:val="00C8645C"/>
    <w:rsid w:val="00C86797"/>
    <w:rsid w:val="00C86849"/>
    <w:rsid w:val="00C868F6"/>
    <w:rsid w:val="00C86946"/>
    <w:rsid w:val="00C86EF0"/>
    <w:rsid w:val="00C8780E"/>
    <w:rsid w:val="00C87B9C"/>
    <w:rsid w:val="00C90E24"/>
    <w:rsid w:val="00C913F1"/>
    <w:rsid w:val="00C918CE"/>
    <w:rsid w:val="00C92441"/>
    <w:rsid w:val="00C92AE9"/>
    <w:rsid w:val="00C932CB"/>
    <w:rsid w:val="00C9341F"/>
    <w:rsid w:val="00C93DB8"/>
    <w:rsid w:val="00C94E5F"/>
    <w:rsid w:val="00C9514E"/>
    <w:rsid w:val="00C96B72"/>
    <w:rsid w:val="00C9744B"/>
    <w:rsid w:val="00C97AAE"/>
    <w:rsid w:val="00C97AD4"/>
    <w:rsid w:val="00C97EBB"/>
    <w:rsid w:val="00C97F66"/>
    <w:rsid w:val="00CA1503"/>
    <w:rsid w:val="00CA3284"/>
    <w:rsid w:val="00CA32CD"/>
    <w:rsid w:val="00CA3A35"/>
    <w:rsid w:val="00CA3AE8"/>
    <w:rsid w:val="00CA40B4"/>
    <w:rsid w:val="00CA4CF7"/>
    <w:rsid w:val="00CA5464"/>
    <w:rsid w:val="00CA548D"/>
    <w:rsid w:val="00CA5768"/>
    <w:rsid w:val="00CA5DBB"/>
    <w:rsid w:val="00CA61E6"/>
    <w:rsid w:val="00CA721A"/>
    <w:rsid w:val="00CA76B8"/>
    <w:rsid w:val="00CA7BA6"/>
    <w:rsid w:val="00CA7C11"/>
    <w:rsid w:val="00CB08DE"/>
    <w:rsid w:val="00CB152F"/>
    <w:rsid w:val="00CB24B1"/>
    <w:rsid w:val="00CB2A92"/>
    <w:rsid w:val="00CB2A96"/>
    <w:rsid w:val="00CB4144"/>
    <w:rsid w:val="00CB41FE"/>
    <w:rsid w:val="00CB48D8"/>
    <w:rsid w:val="00CB5405"/>
    <w:rsid w:val="00CB56F9"/>
    <w:rsid w:val="00CB5754"/>
    <w:rsid w:val="00CB61B6"/>
    <w:rsid w:val="00CB641E"/>
    <w:rsid w:val="00CB7302"/>
    <w:rsid w:val="00CB7A92"/>
    <w:rsid w:val="00CC0530"/>
    <w:rsid w:val="00CC06AD"/>
    <w:rsid w:val="00CC1199"/>
    <w:rsid w:val="00CC1A94"/>
    <w:rsid w:val="00CC20DE"/>
    <w:rsid w:val="00CC2D84"/>
    <w:rsid w:val="00CC32C5"/>
    <w:rsid w:val="00CC3607"/>
    <w:rsid w:val="00CC409B"/>
    <w:rsid w:val="00CC4B64"/>
    <w:rsid w:val="00CC5221"/>
    <w:rsid w:val="00CC52AB"/>
    <w:rsid w:val="00CC5662"/>
    <w:rsid w:val="00CC5CEA"/>
    <w:rsid w:val="00CC6EF0"/>
    <w:rsid w:val="00CC75DC"/>
    <w:rsid w:val="00CC796D"/>
    <w:rsid w:val="00CC7AA2"/>
    <w:rsid w:val="00CC7BA0"/>
    <w:rsid w:val="00CD0068"/>
    <w:rsid w:val="00CD0C7E"/>
    <w:rsid w:val="00CD133B"/>
    <w:rsid w:val="00CD138D"/>
    <w:rsid w:val="00CD1A02"/>
    <w:rsid w:val="00CD1B82"/>
    <w:rsid w:val="00CD2AFF"/>
    <w:rsid w:val="00CD2B4F"/>
    <w:rsid w:val="00CD4578"/>
    <w:rsid w:val="00CD4673"/>
    <w:rsid w:val="00CD474D"/>
    <w:rsid w:val="00CD4813"/>
    <w:rsid w:val="00CD5089"/>
    <w:rsid w:val="00CD5C74"/>
    <w:rsid w:val="00CD6C8D"/>
    <w:rsid w:val="00CD79CA"/>
    <w:rsid w:val="00CD7A02"/>
    <w:rsid w:val="00CE01CF"/>
    <w:rsid w:val="00CE03C3"/>
    <w:rsid w:val="00CE04DB"/>
    <w:rsid w:val="00CE08F5"/>
    <w:rsid w:val="00CE0BC7"/>
    <w:rsid w:val="00CE12F0"/>
    <w:rsid w:val="00CE1D2D"/>
    <w:rsid w:val="00CE2CD0"/>
    <w:rsid w:val="00CE2FF4"/>
    <w:rsid w:val="00CE335D"/>
    <w:rsid w:val="00CE3387"/>
    <w:rsid w:val="00CE3ED8"/>
    <w:rsid w:val="00CE4193"/>
    <w:rsid w:val="00CE4F96"/>
    <w:rsid w:val="00CE52E2"/>
    <w:rsid w:val="00CE567D"/>
    <w:rsid w:val="00CE63B2"/>
    <w:rsid w:val="00CE6807"/>
    <w:rsid w:val="00CE6D8D"/>
    <w:rsid w:val="00CE716E"/>
    <w:rsid w:val="00CE7944"/>
    <w:rsid w:val="00CF05D0"/>
    <w:rsid w:val="00CF05E2"/>
    <w:rsid w:val="00CF0F06"/>
    <w:rsid w:val="00CF0FD7"/>
    <w:rsid w:val="00CF15C8"/>
    <w:rsid w:val="00CF23E2"/>
    <w:rsid w:val="00CF257A"/>
    <w:rsid w:val="00CF3FF6"/>
    <w:rsid w:val="00CF4744"/>
    <w:rsid w:val="00CF4A94"/>
    <w:rsid w:val="00CF5494"/>
    <w:rsid w:val="00CF572C"/>
    <w:rsid w:val="00CF5B47"/>
    <w:rsid w:val="00CF5F87"/>
    <w:rsid w:val="00CF65C2"/>
    <w:rsid w:val="00CF6B15"/>
    <w:rsid w:val="00CF7EDA"/>
    <w:rsid w:val="00D007D1"/>
    <w:rsid w:val="00D01483"/>
    <w:rsid w:val="00D0167E"/>
    <w:rsid w:val="00D01690"/>
    <w:rsid w:val="00D01AB5"/>
    <w:rsid w:val="00D02C08"/>
    <w:rsid w:val="00D0332E"/>
    <w:rsid w:val="00D04059"/>
    <w:rsid w:val="00D05F28"/>
    <w:rsid w:val="00D0642E"/>
    <w:rsid w:val="00D07252"/>
    <w:rsid w:val="00D10F1F"/>
    <w:rsid w:val="00D12387"/>
    <w:rsid w:val="00D133D4"/>
    <w:rsid w:val="00D134EB"/>
    <w:rsid w:val="00D13705"/>
    <w:rsid w:val="00D137DA"/>
    <w:rsid w:val="00D149E1"/>
    <w:rsid w:val="00D150F7"/>
    <w:rsid w:val="00D16008"/>
    <w:rsid w:val="00D160A6"/>
    <w:rsid w:val="00D1610D"/>
    <w:rsid w:val="00D1661B"/>
    <w:rsid w:val="00D17678"/>
    <w:rsid w:val="00D17D09"/>
    <w:rsid w:val="00D20817"/>
    <w:rsid w:val="00D20F80"/>
    <w:rsid w:val="00D21328"/>
    <w:rsid w:val="00D226B2"/>
    <w:rsid w:val="00D227C5"/>
    <w:rsid w:val="00D22C75"/>
    <w:rsid w:val="00D23CBC"/>
    <w:rsid w:val="00D23F43"/>
    <w:rsid w:val="00D2455F"/>
    <w:rsid w:val="00D2458A"/>
    <w:rsid w:val="00D246E8"/>
    <w:rsid w:val="00D24F99"/>
    <w:rsid w:val="00D25696"/>
    <w:rsid w:val="00D25CD4"/>
    <w:rsid w:val="00D261C8"/>
    <w:rsid w:val="00D261F9"/>
    <w:rsid w:val="00D26482"/>
    <w:rsid w:val="00D2686E"/>
    <w:rsid w:val="00D27972"/>
    <w:rsid w:val="00D27A35"/>
    <w:rsid w:val="00D309AB"/>
    <w:rsid w:val="00D318D2"/>
    <w:rsid w:val="00D31AAA"/>
    <w:rsid w:val="00D32ACB"/>
    <w:rsid w:val="00D335BC"/>
    <w:rsid w:val="00D3381C"/>
    <w:rsid w:val="00D33C33"/>
    <w:rsid w:val="00D33D87"/>
    <w:rsid w:val="00D341C8"/>
    <w:rsid w:val="00D34505"/>
    <w:rsid w:val="00D345D5"/>
    <w:rsid w:val="00D359A7"/>
    <w:rsid w:val="00D36553"/>
    <w:rsid w:val="00D36C2B"/>
    <w:rsid w:val="00D373BB"/>
    <w:rsid w:val="00D37710"/>
    <w:rsid w:val="00D37EDC"/>
    <w:rsid w:val="00D37FDF"/>
    <w:rsid w:val="00D4008B"/>
    <w:rsid w:val="00D4069D"/>
    <w:rsid w:val="00D40FE1"/>
    <w:rsid w:val="00D41091"/>
    <w:rsid w:val="00D41500"/>
    <w:rsid w:val="00D41B2E"/>
    <w:rsid w:val="00D426F5"/>
    <w:rsid w:val="00D42978"/>
    <w:rsid w:val="00D43369"/>
    <w:rsid w:val="00D437C2"/>
    <w:rsid w:val="00D439A4"/>
    <w:rsid w:val="00D43A24"/>
    <w:rsid w:val="00D43AFC"/>
    <w:rsid w:val="00D44ACE"/>
    <w:rsid w:val="00D450E6"/>
    <w:rsid w:val="00D4599A"/>
    <w:rsid w:val="00D47468"/>
    <w:rsid w:val="00D47F6E"/>
    <w:rsid w:val="00D5054C"/>
    <w:rsid w:val="00D529D0"/>
    <w:rsid w:val="00D52F37"/>
    <w:rsid w:val="00D5359F"/>
    <w:rsid w:val="00D53658"/>
    <w:rsid w:val="00D53854"/>
    <w:rsid w:val="00D5449E"/>
    <w:rsid w:val="00D54581"/>
    <w:rsid w:val="00D5640A"/>
    <w:rsid w:val="00D60232"/>
    <w:rsid w:val="00D61F24"/>
    <w:rsid w:val="00D640A0"/>
    <w:rsid w:val="00D64BE4"/>
    <w:rsid w:val="00D656F5"/>
    <w:rsid w:val="00D657AC"/>
    <w:rsid w:val="00D65F88"/>
    <w:rsid w:val="00D65FBE"/>
    <w:rsid w:val="00D66EBB"/>
    <w:rsid w:val="00D67449"/>
    <w:rsid w:val="00D67B3F"/>
    <w:rsid w:val="00D67D5A"/>
    <w:rsid w:val="00D70163"/>
    <w:rsid w:val="00D705D7"/>
    <w:rsid w:val="00D70775"/>
    <w:rsid w:val="00D722DF"/>
    <w:rsid w:val="00D74C8F"/>
    <w:rsid w:val="00D751AC"/>
    <w:rsid w:val="00D757F9"/>
    <w:rsid w:val="00D76057"/>
    <w:rsid w:val="00D76AA8"/>
    <w:rsid w:val="00D77439"/>
    <w:rsid w:val="00D77C9E"/>
    <w:rsid w:val="00D80A6D"/>
    <w:rsid w:val="00D82375"/>
    <w:rsid w:val="00D823BC"/>
    <w:rsid w:val="00D82E2E"/>
    <w:rsid w:val="00D83188"/>
    <w:rsid w:val="00D838DC"/>
    <w:rsid w:val="00D83F6D"/>
    <w:rsid w:val="00D83FC8"/>
    <w:rsid w:val="00D84F1D"/>
    <w:rsid w:val="00D8506A"/>
    <w:rsid w:val="00D856B7"/>
    <w:rsid w:val="00D85793"/>
    <w:rsid w:val="00D8620D"/>
    <w:rsid w:val="00D8621B"/>
    <w:rsid w:val="00D86E47"/>
    <w:rsid w:val="00D87F4B"/>
    <w:rsid w:val="00D90AD6"/>
    <w:rsid w:val="00D90FF7"/>
    <w:rsid w:val="00D92090"/>
    <w:rsid w:val="00D928F2"/>
    <w:rsid w:val="00D94003"/>
    <w:rsid w:val="00D9448A"/>
    <w:rsid w:val="00D94759"/>
    <w:rsid w:val="00D95669"/>
    <w:rsid w:val="00D9774E"/>
    <w:rsid w:val="00DA009C"/>
    <w:rsid w:val="00DA06B5"/>
    <w:rsid w:val="00DA0CEC"/>
    <w:rsid w:val="00DA0DE7"/>
    <w:rsid w:val="00DA1665"/>
    <w:rsid w:val="00DA2267"/>
    <w:rsid w:val="00DA2469"/>
    <w:rsid w:val="00DA2723"/>
    <w:rsid w:val="00DA2F4D"/>
    <w:rsid w:val="00DA3BB2"/>
    <w:rsid w:val="00DA4BA9"/>
    <w:rsid w:val="00DA4E35"/>
    <w:rsid w:val="00DA5F60"/>
    <w:rsid w:val="00DA6A1D"/>
    <w:rsid w:val="00DA6A67"/>
    <w:rsid w:val="00DA77A2"/>
    <w:rsid w:val="00DB011C"/>
    <w:rsid w:val="00DB02D1"/>
    <w:rsid w:val="00DB1424"/>
    <w:rsid w:val="00DB150F"/>
    <w:rsid w:val="00DB16AC"/>
    <w:rsid w:val="00DB16FB"/>
    <w:rsid w:val="00DB2339"/>
    <w:rsid w:val="00DB2822"/>
    <w:rsid w:val="00DB2BCE"/>
    <w:rsid w:val="00DB47B5"/>
    <w:rsid w:val="00DB47E8"/>
    <w:rsid w:val="00DB57EA"/>
    <w:rsid w:val="00DB74D3"/>
    <w:rsid w:val="00DB7904"/>
    <w:rsid w:val="00DB7A39"/>
    <w:rsid w:val="00DC15C6"/>
    <w:rsid w:val="00DC189D"/>
    <w:rsid w:val="00DC3386"/>
    <w:rsid w:val="00DC3A1C"/>
    <w:rsid w:val="00DC3AC7"/>
    <w:rsid w:val="00DC42B6"/>
    <w:rsid w:val="00DC5790"/>
    <w:rsid w:val="00DC5A0C"/>
    <w:rsid w:val="00DC5C32"/>
    <w:rsid w:val="00DC5D22"/>
    <w:rsid w:val="00DC6D31"/>
    <w:rsid w:val="00DC7682"/>
    <w:rsid w:val="00DD126B"/>
    <w:rsid w:val="00DD142C"/>
    <w:rsid w:val="00DD15BF"/>
    <w:rsid w:val="00DD1A90"/>
    <w:rsid w:val="00DD1A99"/>
    <w:rsid w:val="00DD1DD9"/>
    <w:rsid w:val="00DD22A6"/>
    <w:rsid w:val="00DD2B7B"/>
    <w:rsid w:val="00DD3E7F"/>
    <w:rsid w:val="00DD4F74"/>
    <w:rsid w:val="00DD52B4"/>
    <w:rsid w:val="00DD5618"/>
    <w:rsid w:val="00DD5AA5"/>
    <w:rsid w:val="00DD5DEE"/>
    <w:rsid w:val="00DD63B0"/>
    <w:rsid w:val="00DD6669"/>
    <w:rsid w:val="00DD6837"/>
    <w:rsid w:val="00DD70E1"/>
    <w:rsid w:val="00DD7D7D"/>
    <w:rsid w:val="00DE003B"/>
    <w:rsid w:val="00DE1703"/>
    <w:rsid w:val="00DE1772"/>
    <w:rsid w:val="00DE19ED"/>
    <w:rsid w:val="00DE262E"/>
    <w:rsid w:val="00DE2E89"/>
    <w:rsid w:val="00DE36C6"/>
    <w:rsid w:val="00DE37E2"/>
    <w:rsid w:val="00DE45A7"/>
    <w:rsid w:val="00DE4E62"/>
    <w:rsid w:val="00DE5384"/>
    <w:rsid w:val="00DE5D8E"/>
    <w:rsid w:val="00DE6207"/>
    <w:rsid w:val="00DE6617"/>
    <w:rsid w:val="00DE76C4"/>
    <w:rsid w:val="00DE7EA4"/>
    <w:rsid w:val="00DF0346"/>
    <w:rsid w:val="00DF064D"/>
    <w:rsid w:val="00DF115A"/>
    <w:rsid w:val="00DF152A"/>
    <w:rsid w:val="00DF2325"/>
    <w:rsid w:val="00DF2DF8"/>
    <w:rsid w:val="00DF33BB"/>
    <w:rsid w:val="00DF43AB"/>
    <w:rsid w:val="00DF49B6"/>
    <w:rsid w:val="00DF5C9C"/>
    <w:rsid w:val="00DF5DC2"/>
    <w:rsid w:val="00DF6662"/>
    <w:rsid w:val="00DF68A3"/>
    <w:rsid w:val="00DF6D57"/>
    <w:rsid w:val="00DF7147"/>
    <w:rsid w:val="00DF7180"/>
    <w:rsid w:val="00DF748E"/>
    <w:rsid w:val="00DF74D6"/>
    <w:rsid w:val="00E007A7"/>
    <w:rsid w:val="00E01B1A"/>
    <w:rsid w:val="00E02171"/>
    <w:rsid w:val="00E025C5"/>
    <w:rsid w:val="00E0291C"/>
    <w:rsid w:val="00E02B9B"/>
    <w:rsid w:val="00E02D9B"/>
    <w:rsid w:val="00E02DA3"/>
    <w:rsid w:val="00E03C40"/>
    <w:rsid w:val="00E04E4E"/>
    <w:rsid w:val="00E0735A"/>
    <w:rsid w:val="00E07E50"/>
    <w:rsid w:val="00E108BB"/>
    <w:rsid w:val="00E10CC7"/>
    <w:rsid w:val="00E10EA8"/>
    <w:rsid w:val="00E11A3C"/>
    <w:rsid w:val="00E1225D"/>
    <w:rsid w:val="00E12B2C"/>
    <w:rsid w:val="00E12BEC"/>
    <w:rsid w:val="00E135B2"/>
    <w:rsid w:val="00E13F26"/>
    <w:rsid w:val="00E140B6"/>
    <w:rsid w:val="00E143EC"/>
    <w:rsid w:val="00E146FD"/>
    <w:rsid w:val="00E152F6"/>
    <w:rsid w:val="00E15DBA"/>
    <w:rsid w:val="00E1642B"/>
    <w:rsid w:val="00E16F39"/>
    <w:rsid w:val="00E17A59"/>
    <w:rsid w:val="00E17B4B"/>
    <w:rsid w:val="00E20740"/>
    <w:rsid w:val="00E208D7"/>
    <w:rsid w:val="00E20CDA"/>
    <w:rsid w:val="00E22040"/>
    <w:rsid w:val="00E2219E"/>
    <w:rsid w:val="00E22BC7"/>
    <w:rsid w:val="00E23FD8"/>
    <w:rsid w:val="00E241CB"/>
    <w:rsid w:val="00E25063"/>
    <w:rsid w:val="00E25173"/>
    <w:rsid w:val="00E255A4"/>
    <w:rsid w:val="00E25D94"/>
    <w:rsid w:val="00E26AD1"/>
    <w:rsid w:val="00E26D46"/>
    <w:rsid w:val="00E30121"/>
    <w:rsid w:val="00E305A6"/>
    <w:rsid w:val="00E311D5"/>
    <w:rsid w:val="00E318FD"/>
    <w:rsid w:val="00E319FC"/>
    <w:rsid w:val="00E31B60"/>
    <w:rsid w:val="00E31BCA"/>
    <w:rsid w:val="00E31CBD"/>
    <w:rsid w:val="00E3263C"/>
    <w:rsid w:val="00E32CDC"/>
    <w:rsid w:val="00E34503"/>
    <w:rsid w:val="00E34CC3"/>
    <w:rsid w:val="00E350CD"/>
    <w:rsid w:val="00E351B1"/>
    <w:rsid w:val="00E35D75"/>
    <w:rsid w:val="00E36896"/>
    <w:rsid w:val="00E371A5"/>
    <w:rsid w:val="00E37781"/>
    <w:rsid w:val="00E37C45"/>
    <w:rsid w:val="00E40D8B"/>
    <w:rsid w:val="00E410E7"/>
    <w:rsid w:val="00E41D9E"/>
    <w:rsid w:val="00E43713"/>
    <w:rsid w:val="00E4578C"/>
    <w:rsid w:val="00E4598C"/>
    <w:rsid w:val="00E45A7F"/>
    <w:rsid w:val="00E45FFD"/>
    <w:rsid w:val="00E477DD"/>
    <w:rsid w:val="00E47803"/>
    <w:rsid w:val="00E47D81"/>
    <w:rsid w:val="00E47F12"/>
    <w:rsid w:val="00E500B0"/>
    <w:rsid w:val="00E50823"/>
    <w:rsid w:val="00E50CB0"/>
    <w:rsid w:val="00E514F0"/>
    <w:rsid w:val="00E52098"/>
    <w:rsid w:val="00E537CB"/>
    <w:rsid w:val="00E538C7"/>
    <w:rsid w:val="00E545EB"/>
    <w:rsid w:val="00E54676"/>
    <w:rsid w:val="00E54B9F"/>
    <w:rsid w:val="00E5513D"/>
    <w:rsid w:val="00E55360"/>
    <w:rsid w:val="00E561F4"/>
    <w:rsid w:val="00E564BF"/>
    <w:rsid w:val="00E56F38"/>
    <w:rsid w:val="00E575A0"/>
    <w:rsid w:val="00E57670"/>
    <w:rsid w:val="00E5770A"/>
    <w:rsid w:val="00E57962"/>
    <w:rsid w:val="00E579DA"/>
    <w:rsid w:val="00E57B9D"/>
    <w:rsid w:val="00E600D8"/>
    <w:rsid w:val="00E609CA"/>
    <w:rsid w:val="00E617B8"/>
    <w:rsid w:val="00E619D8"/>
    <w:rsid w:val="00E61D18"/>
    <w:rsid w:val="00E623D1"/>
    <w:rsid w:val="00E62783"/>
    <w:rsid w:val="00E63A57"/>
    <w:rsid w:val="00E654FD"/>
    <w:rsid w:val="00E657CB"/>
    <w:rsid w:val="00E666C5"/>
    <w:rsid w:val="00E66A8B"/>
    <w:rsid w:val="00E705B5"/>
    <w:rsid w:val="00E705B7"/>
    <w:rsid w:val="00E70804"/>
    <w:rsid w:val="00E70DFA"/>
    <w:rsid w:val="00E71364"/>
    <w:rsid w:val="00E71934"/>
    <w:rsid w:val="00E71C15"/>
    <w:rsid w:val="00E73581"/>
    <w:rsid w:val="00E73BFD"/>
    <w:rsid w:val="00E73F9E"/>
    <w:rsid w:val="00E740A1"/>
    <w:rsid w:val="00E74775"/>
    <w:rsid w:val="00E74D66"/>
    <w:rsid w:val="00E768C9"/>
    <w:rsid w:val="00E76CE3"/>
    <w:rsid w:val="00E77617"/>
    <w:rsid w:val="00E77CEA"/>
    <w:rsid w:val="00E77F7F"/>
    <w:rsid w:val="00E77F97"/>
    <w:rsid w:val="00E80EAA"/>
    <w:rsid w:val="00E8174C"/>
    <w:rsid w:val="00E81E49"/>
    <w:rsid w:val="00E81EB1"/>
    <w:rsid w:val="00E82A73"/>
    <w:rsid w:val="00E82F4A"/>
    <w:rsid w:val="00E83A56"/>
    <w:rsid w:val="00E83B58"/>
    <w:rsid w:val="00E83D30"/>
    <w:rsid w:val="00E8417E"/>
    <w:rsid w:val="00E844F3"/>
    <w:rsid w:val="00E847DA"/>
    <w:rsid w:val="00E8480D"/>
    <w:rsid w:val="00E85560"/>
    <w:rsid w:val="00E866DA"/>
    <w:rsid w:val="00E86758"/>
    <w:rsid w:val="00E86C35"/>
    <w:rsid w:val="00E87457"/>
    <w:rsid w:val="00E87BB6"/>
    <w:rsid w:val="00E90334"/>
    <w:rsid w:val="00E915FA"/>
    <w:rsid w:val="00E91A5A"/>
    <w:rsid w:val="00E932ED"/>
    <w:rsid w:val="00E93359"/>
    <w:rsid w:val="00E9389A"/>
    <w:rsid w:val="00E943E3"/>
    <w:rsid w:val="00E94BE1"/>
    <w:rsid w:val="00E95821"/>
    <w:rsid w:val="00E9594E"/>
    <w:rsid w:val="00E95E66"/>
    <w:rsid w:val="00E96817"/>
    <w:rsid w:val="00E96D15"/>
    <w:rsid w:val="00E97217"/>
    <w:rsid w:val="00E97885"/>
    <w:rsid w:val="00EA1731"/>
    <w:rsid w:val="00EA1CB4"/>
    <w:rsid w:val="00EA1E6F"/>
    <w:rsid w:val="00EA2164"/>
    <w:rsid w:val="00EA2365"/>
    <w:rsid w:val="00EA2EE4"/>
    <w:rsid w:val="00EA3A87"/>
    <w:rsid w:val="00EA50B3"/>
    <w:rsid w:val="00EA57D8"/>
    <w:rsid w:val="00EA5870"/>
    <w:rsid w:val="00EA5E3B"/>
    <w:rsid w:val="00EA5FBE"/>
    <w:rsid w:val="00EA6929"/>
    <w:rsid w:val="00EA69D4"/>
    <w:rsid w:val="00EA6F69"/>
    <w:rsid w:val="00EA730E"/>
    <w:rsid w:val="00EA772C"/>
    <w:rsid w:val="00EB055B"/>
    <w:rsid w:val="00EB3313"/>
    <w:rsid w:val="00EB3F07"/>
    <w:rsid w:val="00EB3F90"/>
    <w:rsid w:val="00EB4CF3"/>
    <w:rsid w:val="00EB4EF9"/>
    <w:rsid w:val="00EB5773"/>
    <w:rsid w:val="00EB713A"/>
    <w:rsid w:val="00EB7ECA"/>
    <w:rsid w:val="00EC1212"/>
    <w:rsid w:val="00EC1A74"/>
    <w:rsid w:val="00EC1D3D"/>
    <w:rsid w:val="00EC2404"/>
    <w:rsid w:val="00EC2517"/>
    <w:rsid w:val="00EC26BC"/>
    <w:rsid w:val="00EC40F6"/>
    <w:rsid w:val="00EC415F"/>
    <w:rsid w:val="00EC421D"/>
    <w:rsid w:val="00EC448B"/>
    <w:rsid w:val="00EC4539"/>
    <w:rsid w:val="00EC4649"/>
    <w:rsid w:val="00EC48D7"/>
    <w:rsid w:val="00EC4922"/>
    <w:rsid w:val="00EC498A"/>
    <w:rsid w:val="00EC4DF2"/>
    <w:rsid w:val="00EC4E16"/>
    <w:rsid w:val="00EC4F69"/>
    <w:rsid w:val="00EC5BD5"/>
    <w:rsid w:val="00EC714A"/>
    <w:rsid w:val="00EC7E67"/>
    <w:rsid w:val="00EC7F85"/>
    <w:rsid w:val="00ED03C3"/>
    <w:rsid w:val="00ED083A"/>
    <w:rsid w:val="00ED11A3"/>
    <w:rsid w:val="00ED1D23"/>
    <w:rsid w:val="00ED20E2"/>
    <w:rsid w:val="00ED2111"/>
    <w:rsid w:val="00ED29BC"/>
    <w:rsid w:val="00ED36E4"/>
    <w:rsid w:val="00ED3CF7"/>
    <w:rsid w:val="00ED44E6"/>
    <w:rsid w:val="00ED468F"/>
    <w:rsid w:val="00ED50B1"/>
    <w:rsid w:val="00ED53A1"/>
    <w:rsid w:val="00ED60F8"/>
    <w:rsid w:val="00ED6198"/>
    <w:rsid w:val="00ED6711"/>
    <w:rsid w:val="00ED7B6B"/>
    <w:rsid w:val="00EE09B8"/>
    <w:rsid w:val="00EE0B3E"/>
    <w:rsid w:val="00EE14D2"/>
    <w:rsid w:val="00EE1C47"/>
    <w:rsid w:val="00EE240E"/>
    <w:rsid w:val="00EE248F"/>
    <w:rsid w:val="00EE36E5"/>
    <w:rsid w:val="00EE36EB"/>
    <w:rsid w:val="00EE3E62"/>
    <w:rsid w:val="00EE40FF"/>
    <w:rsid w:val="00EE45D3"/>
    <w:rsid w:val="00EE5629"/>
    <w:rsid w:val="00EE6345"/>
    <w:rsid w:val="00EE72FA"/>
    <w:rsid w:val="00EE7728"/>
    <w:rsid w:val="00EE7898"/>
    <w:rsid w:val="00EE7CCD"/>
    <w:rsid w:val="00EF0406"/>
    <w:rsid w:val="00EF0C36"/>
    <w:rsid w:val="00EF2A1C"/>
    <w:rsid w:val="00EF2D02"/>
    <w:rsid w:val="00EF2F31"/>
    <w:rsid w:val="00EF3387"/>
    <w:rsid w:val="00EF64F0"/>
    <w:rsid w:val="00EF70A9"/>
    <w:rsid w:val="00EF7251"/>
    <w:rsid w:val="00EF7C75"/>
    <w:rsid w:val="00F01526"/>
    <w:rsid w:val="00F019DD"/>
    <w:rsid w:val="00F01C4C"/>
    <w:rsid w:val="00F01D24"/>
    <w:rsid w:val="00F02BEE"/>
    <w:rsid w:val="00F02C86"/>
    <w:rsid w:val="00F031C7"/>
    <w:rsid w:val="00F0406A"/>
    <w:rsid w:val="00F04098"/>
    <w:rsid w:val="00F047AC"/>
    <w:rsid w:val="00F04BA9"/>
    <w:rsid w:val="00F058AF"/>
    <w:rsid w:val="00F059CA"/>
    <w:rsid w:val="00F060A2"/>
    <w:rsid w:val="00F0678F"/>
    <w:rsid w:val="00F06DF8"/>
    <w:rsid w:val="00F07210"/>
    <w:rsid w:val="00F1010C"/>
    <w:rsid w:val="00F101E4"/>
    <w:rsid w:val="00F10202"/>
    <w:rsid w:val="00F108C2"/>
    <w:rsid w:val="00F10E63"/>
    <w:rsid w:val="00F11054"/>
    <w:rsid w:val="00F114A8"/>
    <w:rsid w:val="00F128DE"/>
    <w:rsid w:val="00F13036"/>
    <w:rsid w:val="00F13F75"/>
    <w:rsid w:val="00F1401D"/>
    <w:rsid w:val="00F14DD2"/>
    <w:rsid w:val="00F15843"/>
    <w:rsid w:val="00F15DBB"/>
    <w:rsid w:val="00F16154"/>
    <w:rsid w:val="00F1661C"/>
    <w:rsid w:val="00F166CD"/>
    <w:rsid w:val="00F16714"/>
    <w:rsid w:val="00F16F50"/>
    <w:rsid w:val="00F2014E"/>
    <w:rsid w:val="00F20920"/>
    <w:rsid w:val="00F21621"/>
    <w:rsid w:val="00F218A5"/>
    <w:rsid w:val="00F22C46"/>
    <w:rsid w:val="00F22E39"/>
    <w:rsid w:val="00F22F8D"/>
    <w:rsid w:val="00F233BA"/>
    <w:rsid w:val="00F23407"/>
    <w:rsid w:val="00F23829"/>
    <w:rsid w:val="00F23A29"/>
    <w:rsid w:val="00F23A41"/>
    <w:rsid w:val="00F244A8"/>
    <w:rsid w:val="00F244F8"/>
    <w:rsid w:val="00F24D75"/>
    <w:rsid w:val="00F25285"/>
    <w:rsid w:val="00F261E3"/>
    <w:rsid w:val="00F262C6"/>
    <w:rsid w:val="00F2704B"/>
    <w:rsid w:val="00F27221"/>
    <w:rsid w:val="00F27245"/>
    <w:rsid w:val="00F27D82"/>
    <w:rsid w:val="00F27F14"/>
    <w:rsid w:val="00F300C7"/>
    <w:rsid w:val="00F301DE"/>
    <w:rsid w:val="00F30FB1"/>
    <w:rsid w:val="00F314D1"/>
    <w:rsid w:val="00F31917"/>
    <w:rsid w:val="00F31FEC"/>
    <w:rsid w:val="00F325CB"/>
    <w:rsid w:val="00F332D1"/>
    <w:rsid w:val="00F335E7"/>
    <w:rsid w:val="00F34F33"/>
    <w:rsid w:val="00F352DD"/>
    <w:rsid w:val="00F35BAB"/>
    <w:rsid w:val="00F35C1C"/>
    <w:rsid w:val="00F36C8D"/>
    <w:rsid w:val="00F40573"/>
    <w:rsid w:val="00F40A4A"/>
    <w:rsid w:val="00F40CCB"/>
    <w:rsid w:val="00F4157C"/>
    <w:rsid w:val="00F420DE"/>
    <w:rsid w:val="00F42436"/>
    <w:rsid w:val="00F427D1"/>
    <w:rsid w:val="00F42ADB"/>
    <w:rsid w:val="00F4329E"/>
    <w:rsid w:val="00F44D9B"/>
    <w:rsid w:val="00F459D8"/>
    <w:rsid w:val="00F45F49"/>
    <w:rsid w:val="00F461A6"/>
    <w:rsid w:val="00F462C7"/>
    <w:rsid w:val="00F46EF7"/>
    <w:rsid w:val="00F47E87"/>
    <w:rsid w:val="00F505E6"/>
    <w:rsid w:val="00F51A31"/>
    <w:rsid w:val="00F51EC8"/>
    <w:rsid w:val="00F5203B"/>
    <w:rsid w:val="00F524CF"/>
    <w:rsid w:val="00F527E8"/>
    <w:rsid w:val="00F52A7A"/>
    <w:rsid w:val="00F5424D"/>
    <w:rsid w:val="00F56608"/>
    <w:rsid w:val="00F57211"/>
    <w:rsid w:val="00F60223"/>
    <w:rsid w:val="00F60DA0"/>
    <w:rsid w:val="00F610A8"/>
    <w:rsid w:val="00F61411"/>
    <w:rsid w:val="00F6142C"/>
    <w:rsid w:val="00F61D56"/>
    <w:rsid w:val="00F61F3D"/>
    <w:rsid w:val="00F6234C"/>
    <w:rsid w:val="00F62BCA"/>
    <w:rsid w:val="00F63415"/>
    <w:rsid w:val="00F63F6D"/>
    <w:rsid w:val="00F63FB2"/>
    <w:rsid w:val="00F643FB"/>
    <w:rsid w:val="00F64A23"/>
    <w:rsid w:val="00F65430"/>
    <w:rsid w:val="00F6551C"/>
    <w:rsid w:val="00F659E9"/>
    <w:rsid w:val="00F662F3"/>
    <w:rsid w:val="00F667C1"/>
    <w:rsid w:val="00F67415"/>
    <w:rsid w:val="00F67442"/>
    <w:rsid w:val="00F70B3B"/>
    <w:rsid w:val="00F70F3A"/>
    <w:rsid w:val="00F7217C"/>
    <w:rsid w:val="00F72730"/>
    <w:rsid w:val="00F729E6"/>
    <w:rsid w:val="00F72DC8"/>
    <w:rsid w:val="00F730DD"/>
    <w:rsid w:val="00F73E98"/>
    <w:rsid w:val="00F74DA1"/>
    <w:rsid w:val="00F75B73"/>
    <w:rsid w:val="00F77721"/>
    <w:rsid w:val="00F8040A"/>
    <w:rsid w:val="00F80C70"/>
    <w:rsid w:val="00F81DFF"/>
    <w:rsid w:val="00F81E7C"/>
    <w:rsid w:val="00F821C6"/>
    <w:rsid w:val="00F821E0"/>
    <w:rsid w:val="00F824C9"/>
    <w:rsid w:val="00F831E3"/>
    <w:rsid w:val="00F8320E"/>
    <w:rsid w:val="00F84124"/>
    <w:rsid w:val="00F8546B"/>
    <w:rsid w:val="00F862D6"/>
    <w:rsid w:val="00F8667F"/>
    <w:rsid w:val="00F86882"/>
    <w:rsid w:val="00F872EF"/>
    <w:rsid w:val="00F9023D"/>
    <w:rsid w:val="00F92F8A"/>
    <w:rsid w:val="00F93533"/>
    <w:rsid w:val="00F941BE"/>
    <w:rsid w:val="00F943D6"/>
    <w:rsid w:val="00F94670"/>
    <w:rsid w:val="00F94A11"/>
    <w:rsid w:val="00F94E1B"/>
    <w:rsid w:val="00F94FC6"/>
    <w:rsid w:val="00F95B4E"/>
    <w:rsid w:val="00F95BEA"/>
    <w:rsid w:val="00F9615B"/>
    <w:rsid w:val="00F969D4"/>
    <w:rsid w:val="00F96E76"/>
    <w:rsid w:val="00F97464"/>
    <w:rsid w:val="00F97E2E"/>
    <w:rsid w:val="00FA1A82"/>
    <w:rsid w:val="00FA1D37"/>
    <w:rsid w:val="00FA1FAE"/>
    <w:rsid w:val="00FA2146"/>
    <w:rsid w:val="00FA2E78"/>
    <w:rsid w:val="00FA3958"/>
    <w:rsid w:val="00FA3CC1"/>
    <w:rsid w:val="00FA3ECA"/>
    <w:rsid w:val="00FA47AD"/>
    <w:rsid w:val="00FA5005"/>
    <w:rsid w:val="00FA524E"/>
    <w:rsid w:val="00FA6283"/>
    <w:rsid w:val="00FA6428"/>
    <w:rsid w:val="00FA7830"/>
    <w:rsid w:val="00FA7B03"/>
    <w:rsid w:val="00FB0249"/>
    <w:rsid w:val="00FB08DD"/>
    <w:rsid w:val="00FB0A30"/>
    <w:rsid w:val="00FB0ACA"/>
    <w:rsid w:val="00FB103D"/>
    <w:rsid w:val="00FB1686"/>
    <w:rsid w:val="00FB1DC8"/>
    <w:rsid w:val="00FB2384"/>
    <w:rsid w:val="00FB3DE7"/>
    <w:rsid w:val="00FB3F62"/>
    <w:rsid w:val="00FB41F4"/>
    <w:rsid w:val="00FB42A5"/>
    <w:rsid w:val="00FB5116"/>
    <w:rsid w:val="00FB587B"/>
    <w:rsid w:val="00FB668C"/>
    <w:rsid w:val="00FB6865"/>
    <w:rsid w:val="00FB6C1D"/>
    <w:rsid w:val="00FB705A"/>
    <w:rsid w:val="00FB7715"/>
    <w:rsid w:val="00FB7DCD"/>
    <w:rsid w:val="00FB7FCA"/>
    <w:rsid w:val="00FC08AE"/>
    <w:rsid w:val="00FC0A9D"/>
    <w:rsid w:val="00FC0C2B"/>
    <w:rsid w:val="00FC0CC2"/>
    <w:rsid w:val="00FC22D2"/>
    <w:rsid w:val="00FC43E7"/>
    <w:rsid w:val="00FC5753"/>
    <w:rsid w:val="00FC579D"/>
    <w:rsid w:val="00FC6782"/>
    <w:rsid w:val="00FC6949"/>
    <w:rsid w:val="00FC6980"/>
    <w:rsid w:val="00FC7435"/>
    <w:rsid w:val="00FC77CA"/>
    <w:rsid w:val="00FD01E5"/>
    <w:rsid w:val="00FD0201"/>
    <w:rsid w:val="00FD03CF"/>
    <w:rsid w:val="00FD04FC"/>
    <w:rsid w:val="00FD07CA"/>
    <w:rsid w:val="00FD0D06"/>
    <w:rsid w:val="00FD1108"/>
    <w:rsid w:val="00FD1C2C"/>
    <w:rsid w:val="00FD1C6A"/>
    <w:rsid w:val="00FD22F7"/>
    <w:rsid w:val="00FD2F09"/>
    <w:rsid w:val="00FD36B1"/>
    <w:rsid w:val="00FD4C77"/>
    <w:rsid w:val="00FD4FF8"/>
    <w:rsid w:val="00FD63E2"/>
    <w:rsid w:val="00FD7119"/>
    <w:rsid w:val="00FD7331"/>
    <w:rsid w:val="00FD77B0"/>
    <w:rsid w:val="00FE17B3"/>
    <w:rsid w:val="00FE198F"/>
    <w:rsid w:val="00FE227A"/>
    <w:rsid w:val="00FE28F9"/>
    <w:rsid w:val="00FE36BF"/>
    <w:rsid w:val="00FE4409"/>
    <w:rsid w:val="00FE4BAF"/>
    <w:rsid w:val="00FE5CE6"/>
    <w:rsid w:val="00FE5FC7"/>
    <w:rsid w:val="00FE6401"/>
    <w:rsid w:val="00FE6C8A"/>
    <w:rsid w:val="00FE743B"/>
    <w:rsid w:val="00FE7F25"/>
    <w:rsid w:val="00FF094B"/>
    <w:rsid w:val="00FF0956"/>
    <w:rsid w:val="00FF0B20"/>
    <w:rsid w:val="00FF1714"/>
    <w:rsid w:val="00FF1768"/>
    <w:rsid w:val="00FF2B2C"/>
    <w:rsid w:val="00FF3839"/>
    <w:rsid w:val="00FF3850"/>
    <w:rsid w:val="00FF39A3"/>
    <w:rsid w:val="00FF3F3E"/>
    <w:rsid w:val="00FF4555"/>
    <w:rsid w:val="00FF614E"/>
    <w:rsid w:val="00FF6517"/>
    <w:rsid w:val="00FF6B96"/>
    <w:rsid w:val="00FF7412"/>
    <w:rsid w:val="00FF79C9"/>
    <w:rsid w:val="00FF7C0E"/>
    <w:rsid w:val="00FF7D79"/>
    <w:rsid w:val="00FF7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8E4C54"/>
    <w:pPr>
      <w:keepNext/>
      <w:keepLines/>
      <w:spacing w:line="360" w:lineRule="auto"/>
      <w:ind w:firstLine="3600"/>
      <w:outlineLvl w:val="5"/>
    </w:pPr>
    <w:rPr>
      <w:rFonts w:eastAsiaTheme="majorEastAsia"/>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qFormat/>
    <w:rsid w:val="004D1CC1"/>
    <w:pPr>
      <w:spacing w:after="100"/>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qFormat/>
    <w:rsid w:val="000854A4"/>
    <w:pPr>
      <w:tabs>
        <w:tab w:val="left" w:pos="1080"/>
        <w:tab w:val="right" w:leader="dot" w:pos="9350"/>
      </w:tabs>
      <w:spacing w:after="100"/>
      <w:ind w:left="240"/>
    </w:pPr>
  </w:style>
  <w:style w:type="paragraph" w:styleId="TOC3">
    <w:name w:val="toc 3"/>
    <w:basedOn w:val="Normal"/>
    <w:next w:val="Normal"/>
    <w:autoRedefine/>
    <w:uiPriority w:val="39"/>
    <w:unhideWhenUsed/>
    <w:qFormat/>
    <w:rsid w:val="00E02D9B"/>
    <w:pPr>
      <w:tabs>
        <w:tab w:val="left" w:pos="1440"/>
        <w:tab w:val="right" w:leader="dot" w:pos="9350"/>
      </w:tabs>
      <w:spacing w:after="100"/>
      <w:ind w:left="480"/>
    </w:pPr>
  </w:style>
  <w:style w:type="paragraph" w:styleId="TOC4">
    <w:name w:val="toc 4"/>
    <w:basedOn w:val="Normal"/>
    <w:next w:val="Normal"/>
    <w:autoRedefine/>
    <w:uiPriority w:val="39"/>
    <w:unhideWhenUsed/>
    <w:rsid w:val="00E02D9B"/>
    <w:pPr>
      <w:tabs>
        <w:tab w:val="left" w:pos="1800"/>
        <w:tab w:val="right" w:leader="dot" w:pos="9350"/>
      </w:tabs>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E02D9B"/>
    <w:pPr>
      <w:tabs>
        <w:tab w:val="left" w:pos="216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nhideWhenUsed/>
    <w:rsid w:val="003E58B9"/>
    <w:rPr>
      <w:sz w:val="20"/>
      <w:szCs w:val="20"/>
    </w:r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rsid w:val="003E58B9"/>
    <w:rPr>
      <w:rFonts w:ascii="Times New Roman" w:eastAsia="Times New Roman" w:hAnsi="Times New Roman" w:cs="Times New Roman"/>
      <w:sz w:val="20"/>
      <w:szCs w:val="20"/>
    </w:rPr>
  </w:style>
  <w:style w:type="character" w:styleId="FootnoteReference">
    <w:name w:val="footnote reference"/>
    <w:aliases w:val="o,fr"/>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7"/>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 w:type="paragraph" w:styleId="TOCHeading">
    <w:name w:val="TOC Heading"/>
    <w:basedOn w:val="Heading1"/>
    <w:next w:val="Normal"/>
    <w:uiPriority w:val="39"/>
    <w:semiHidden/>
    <w:unhideWhenUsed/>
    <w:qFormat/>
    <w:rsid w:val="008F2C6B"/>
    <w:pPr>
      <w:spacing w:before="480" w:line="276" w:lineRule="auto"/>
      <w:outlineLvl w:val="9"/>
    </w:pPr>
    <w:rPr>
      <w:rFonts w:asciiTheme="majorHAnsi" w:hAnsiTheme="majorHAnsi"/>
      <w:color w:val="A5A5A5" w:themeColor="accent1" w:themeShade="BF"/>
      <w:sz w:val="28"/>
    </w:rPr>
  </w:style>
  <w:style w:type="paragraph" w:customStyle="1" w:styleId="StandardL1">
    <w:name w:val="Standard_L1"/>
    <w:basedOn w:val="Normal"/>
    <w:rsid w:val="004512C8"/>
    <w:pPr>
      <w:numPr>
        <w:numId w:val="22"/>
      </w:numPr>
      <w:spacing w:after="120" w:line="480" w:lineRule="auto"/>
      <w:outlineLvl w:val="0"/>
    </w:pPr>
    <w:rPr>
      <w:szCs w:val="20"/>
    </w:rPr>
  </w:style>
  <w:style w:type="paragraph" w:customStyle="1" w:styleId="StandardL2">
    <w:name w:val="Standard_L2"/>
    <w:basedOn w:val="StandardL1"/>
    <w:rsid w:val="004512C8"/>
    <w:pPr>
      <w:numPr>
        <w:ilvl w:val="1"/>
      </w:numPr>
      <w:spacing w:after="240" w:line="240" w:lineRule="auto"/>
      <w:outlineLvl w:val="1"/>
    </w:pPr>
  </w:style>
  <w:style w:type="paragraph" w:customStyle="1" w:styleId="StandardL3">
    <w:name w:val="Standard_L3"/>
    <w:basedOn w:val="StandardL2"/>
    <w:rsid w:val="004512C8"/>
    <w:pPr>
      <w:numPr>
        <w:ilvl w:val="2"/>
      </w:numPr>
      <w:outlineLvl w:val="2"/>
    </w:pPr>
  </w:style>
  <w:style w:type="paragraph" w:customStyle="1" w:styleId="StandardL4">
    <w:name w:val="Standard_L4"/>
    <w:basedOn w:val="StandardL3"/>
    <w:rsid w:val="004512C8"/>
    <w:pPr>
      <w:numPr>
        <w:ilvl w:val="3"/>
      </w:numPr>
      <w:outlineLvl w:val="3"/>
    </w:pPr>
  </w:style>
  <w:style w:type="paragraph" w:customStyle="1" w:styleId="StandardL5">
    <w:name w:val="Standard_L5"/>
    <w:basedOn w:val="StandardL4"/>
    <w:rsid w:val="004512C8"/>
    <w:pPr>
      <w:numPr>
        <w:ilvl w:val="4"/>
      </w:numPr>
      <w:outlineLvl w:val="4"/>
    </w:pPr>
  </w:style>
  <w:style w:type="paragraph" w:customStyle="1" w:styleId="StandardL6">
    <w:name w:val="Standard_L6"/>
    <w:basedOn w:val="StandardL5"/>
    <w:rsid w:val="004512C8"/>
    <w:pPr>
      <w:numPr>
        <w:ilvl w:val="5"/>
      </w:numPr>
      <w:outlineLvl w:val="5"/>
    </w:pPr>
  </w:style>
  <w:style w:type="paragraph" w:customStyle="1" w:styleId="StandardL7">
    <w:name w:val="Standard_L7"/>
    <w:basedOn w:val="StandardL6"/>
    <w:rsid w:val="004512C8"/>
    <w:pPr>
      <w:numPr>
        <w:ilvl w:val="6"/>
      </w:numPr>
      <w:outlineLvl w:val="6"/>
    </w:pPr>
  </w:style>
  <w:style w:type="paragraph" w:customStyle="1" w:styleId="StandardL8">
    <w:name w:val="Standard_L8"/>
    <w:basedOn w:val="StandardL7"/>
    <w:rsid w:val="004512C8"/>
    <w:pPr>
      <w:numPr>
        <w:ilvl w:val="7"/>
      </w:numPr>
      <w:outlineLvl w:val="7"/>
    </w:pPr>
  </w:style>
  <w:style w:type="paragraph" w:customStyle="1" w:styleId="StandardL9">
    <w:name w:val="Standard_L9"/>
    <w:basedOn w:val="StandardL8"/>
    <w:rsid w:val="004512C8"/>
    <w:pPr>
      <w:numPr>
        <w:ilvl w:val="8"/>
      </w:numPr>
      <w:outlineLvl w:val="8"/>
    </w:pPr>
  </w:style>
  <w:style w:type="character" w:styleId="CommentReference">
    <w:name w:val="annotation reference"/>
    <w:basedOn w:val="DefaultParagraphFont"/>
    <w:uiPriority w:val="99"/>
    <w:semiHidden/>
    <w:unhideWhenUsed/>
    <w:rsid w:val="005126B3"/>
    <w:rPr>
      <w:sz w:val="16"/>
      <w:szCs w:val="16"/>
    </w:rPr>
  </w:style>
  <w:style w:type="paragraph" w:styleId="CommentText">
    <w:name w:val="annotation text"/>
    <w:basedOn w:val="Normal"/>
    <w:link w:val="CommentTextChar"/>
    <w:uiPriority w:val="99"/>
    <w:semiHidden/>
    <w:unhideWhenUsed/>
    <w:rsid w:val="005126B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126B3"/>
    <w:rPr>
      <w:sz w:val="20"/>
      <w:szCs w:val="20"/>
    </w:rPr>
  </w:style>
  <w:style w:type="paragraph" w:styleId="Revision">
    <w:name w:val="Revision"/>
    <w:hidden/>
    <w:uiPriority w:val="99"/>
    <w:semiHidden/>
    <w:rsid w:val="0011722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56231">
      <w:bodyDiv w:val="1"/>
      <w:marLeft w:val="0"/>
      <w:marRight w:val="0"/>
      <w:marTop w:val="0"/>
      <w:marBottom w:val="0"/>
      <w:divBdr>
        <w:top w:val="none" w:sz="0" w:space="0" w:color="auto"/>
        <w:left w:val="none" w:sz="0" w:space="0" w:color="auto"/>
        <w:bottom w:val="none" w:sz="0" w:space="0" w:color="auto"/>
        <w:right w:val="none" w:sz="0" w:space="0" w:color="auto"/>
      </w:divBdr>
    </w:div>
    <w:div w:id="55053224">
      <w:bodyDiv w:val="1"/>
      <w:marLeft w:val="0"/>
      <w:marRight w:val="0"/>
      <w:marTop w:val="0"/>
      <w:marBottom w:val="0"/>
      <w:divBdr>
        <w:top w:val="none" w:sz="0" w:space="0" w:color="auto"/>
        <w:left w:val="none" w:sz="0" w:space="0" w:color="auto"/>
        <w:bottom w:val="none" w:sz="0" w:space="0" w:color="auto"/>
        <w:right w:val="none" w:sz="0" w:space="0" w:color="auto"/>
      </w:divBdr>
    </w:div>
    <w:div w:id="517156031">
      <w:bodyDiv w:val="1"/>
      <w:marLeft w:val="0"/>
      <w:marRight w:val="0"/>
      <w:marTop w:val="0"/>
      <w:marBottom w:val="0"/>
      <w:divBdr>
        <w:top w:val="none" w:sz="0" w:space="0" w:color="auto"/>
        <w:left w:val="none" w:sz="0" w:space="0" w:color="auto"/>
        <w:bottom w:val="none" w:sz="0" w:space="0" w:color="auto"/>
        <w:right w:val="none" w:sz="0" w:space="0" w:color="auto"/>
      </w:divBdr>
    </w:div>
    <w:div w:id="611130937">
      <w:bodyDiv w:val="1"/>
      <w:marLeft w:val="0"/>
      <w:marRight w:val="0"/>
      <w:marTop w:val="0"/>
      <w:marBottom w:val="0"/>
      <w:divBdr>
        <w:top w:val="none" w:sz="0" w:space="0" w:color="auto"/>
        <w:left w:val="none" w:sz="0" w:space="0" w:color="auto"/>
        <w:bottom w:val="none" w:sz="0" w:space="0" w:color="auto"/>
        <w:right w:val="none" w:sz="0" w:space="0" w:color="auto"/>
      </w:divBdr>
    </w:div>
    <w:div w:id="639000509">
      <w:bodyDiv w:val="1"/>
      <w:marLeft w:val="0"/>
      <w:marRight w:val="0"/>
      <w:marTop w:val="0"/>
      <w:marBottom w:val="0"/>
      <w:divBdr>
        <w:top w:val="none" w:sz="0" w:space="0" w:color="auto"/>
        <w:left w:val="none" w:sz="0" w:space="0" w:color="auto"/>
        <w:bottom w:val="none" w:sz="0" w:space="0" w:color="auto"/>
        <w:right w:val="none" w:sz="0" w:space="0" w:color="auto"/>
      </w:divBdr>
    </w:div>
    <w:div w:id="673148821">
      <w:bodyDiv w:val="1"/>
      <w:marLeft w:val="0"/>
      <w:marRight w:val="0"/>
      <w:marTop w:val="0"/>
      <w:marBottom w:val="0"/>
      <w:divBdr>
        <w:top w:val="none" w:sz="0" w:space="0" w:color="auto"/>
        <w:left w:val="none" w:sz="0" w:space="0" w:color="auto"/>
        <w:bottom w:val="none" w:sz="0" w:space="0" w:color="auto"/>
        <w:right w:val="none" w:sz="0" w:space="0" w:color="auto"/>
      </w:divBdr>
    </w:div>
    <w:div w:id="714352608">
      <w:bodyDiv w:val="1"/>
      <w:marLeft w:val="0"/>
      <w:marRight w:val="0"/>
      <w:marTop w:val="0"/>
      <w:marBottom w:val="0"/>
      <w:divBdr>
        <w:top w:val="none" w:sz="0" w:space="0" w:color="auto"/>
        <w:left w:val="none" w:sz="0" w:space="0" w:color="auto"/>
        <w:bottom w:val="none" w:sz="0" w:space="0" w:color="auto"/>
        <w:right w:val="none" w:sz="0" w:space="0" w:color="auto"/>
      </w:divBdr>
    </w:div>
    <w:div w:id="724914132">
      <w:bodyDiv w:val="1"/>
      <w:marLeft w:val="0"/>
      <w:marRight w:val="0"/>
      <w:marTop w:val="0"/>
      <w:marBottom w:val="0"/>
      <w:divBdr>
        <w:top w:val="none" w:sz="0" w:space="0" w:color="auto"/>
        <w:left w:val="none" w:sz="0" w:space="0" w:color="auto"/>
        <w:bottom w:val="none" w:sz="0" w:space="0" w:color="auto"/>
        <w:right w:val="none" w:sz="0" w:space="0" w:color="auto"/>
      </w:divBdr>
    </w:div>
    <w:div w:id="774521613">
      <w:bodyDiv w:val="1"/>
      <w:marLeft w:val="0"/>
      <w:marRight w:val="0"/>
      <w:marTop w:val="0"/>
      <w:marBottom w:val="0"/>
      <w:divBdr>
        <w:top w:val="none" w:sz="0" w:space="0" w:color="auto"/>
        <w:left w:val="none" w:sz="0" w:space="0" w:color="auto"/>
        <w:bottom w:val="none" w:sz="0" w:space="0" w:color="auto"/>
        <w:right w:val="none" w:sz="0" w:space="0" w:color="auto"/>
      </w:divBdr>
    </w:div>
    <w:div w:id="832649575">
      <w:bodyDiv w:val="1"/>
      <w:marLeft w:val="0"/>
      <w:marRight w:val="0"/>
      <w:marTop w:val="0"/>
      <w:marBottom w:val="0"/>
      <w:divBdr>
        <w:top w:val="none" w:sz="0" w:space="0" w:color="auto"/>
        <w:left w:val="none" w:sz="0" w:space="0" w:color="auto"/>
        <w:bottom w:val="none" w:sz="0" w:space="0" w:color="auto"/>
        <w:right w:val="none" w:sz="0" w:space="0" w:color="auto"/>
      </w:divBdr>
    </w:div>
    <w:div w:id="883368619">
      <w:bodyDiv w:val="1"/>
      <w:marLeft w:val="0"/>
      <w:marRight w:val="0"/>
      <w:marTop w:val="0"/>
      <w:marBottom w:val="0"/>
      <w:divBdr>
        <w:top w:val="none" w:sz="0" w:space="0" w:color="auto"/>
        <w:left w:val="none" w:sz="0" w:space="0" w:color="auto"/>
        <w:bottom w:val="none" w:sz="0" w:space="0" w:color="auto"/>
        <w:right w:val="none" w:sz="0" w:space="0" w:color="auto"/>
      </w:divBdr>
    </w:div>
    <w:div w:id="885488809">
      <w:bodyDiv w:val="1"/>
      <w:marLeft w:val="0"/>
      <w:marRight w:val="0"/>
      <w:marTop w:val="0"/>
      <w:marBottom w:val="0"/>
      <w:divBdr>
        <w:top w:val="none" w:sz="0" w:space="0" w:color="auto"/>
        <w:left w:val="none" w:sz="0" w:space="0" w:color="auto"/>
        <w:bottom w:val="none" w:sz="0" w:space="0" w:color="auto"/>
        <w:right w:val="none" w:sz="0" w:space="0" w:color="auto"/>
      </w:divBdr>
    </w:div>
    <w:div w:id="1016007380">
      <w:bodyDiv w:val="1"/>
      <w:marLeft w:val="0"/>
      <w:marRight w:val="0"/>
      <w:marTop w:val="0"/>
      <w:marBottom w:val="0"/>
      <w:divBdr>
        <w:top w:val="none" w:sz="0" w:space="0" w:color="auto"/>
        <w:left w:val="none" w:sz="0" w:space="0" w:color="auto"/>
        <w:bottom w:val="none" w:sz="0" w:space="0" w:color="auto"/>
        <w:right w:val="none" w:sz="0" w:space="0" w:color="auto"/>
      </w:divBdr>
    </w:div>
    <w:div w:id="1290473874">
      <w:bodyDiv w:val="1"/>
      <w:marLeft w:val="0"/>
      <w:marRight w:val="0"/>
      <w:marTop w:val="0"/>
      <w:marBottom w:val="0"/>
      <w:divBdr>
        <w:top w:val="none" w:sz="0" w:space="0" w:color="auto"/>
        <w:left w:val="none" w:sz="0" w:space="0" w:color="auto"/>
        <w:bottom w:val="none" w:sz="0" w:space="0" w:color="auto"/>
        <w:right w:val="none" w:sz="0" w:space="0" w:color="auto"/>
      </w:divBdr>
    </w:div>
    <w:div w:id="1297762100">
      <w:bodyDiv w:val="1"/>
      <w:marLeft w:val="0"/>
      <w:marRight w:val="0"/>
      <w:marTop w:val="0"/>
      <w:marBottom w:val="0"/>
      <w:divBdr>
        <w:top w:val="none" w:sz="0" w:space="0" w:color="auto"/>
        <w:left w:val="none" w:sz="0" w:space="0" w:color="auto"/>
        <w:bottom w:val="none" w:sz="0" w:space="0" w:color="auto"/>
        <w:right w:val="none" w:sz="0" w:space="0" w:color="auto"/>
      </w:divBdr>
    </w:div>
    <w:div w:id="1315379574">
      <w:bodyDiv w:val="1"/>
      <w:marLeft w:val="0"/>
      <w:marRight w:val="0"/>
      <w:marTop w:val="0"/>
      <w:marBottom w:val="0"/>
      <w:divBdr>
        <w:top w:val="none" w:sz="0" w:space="0" w:color="auto"/>
        <w:left w:val="none" w:sz="0" w:space="0" w:color="auto"/>
        <w:bottom w:val="none" w:sz="0" w:space="0" w:color="auto"/>
        <w:right w:val="none" w:sz="0" w:space="0" w:color="auto"/>
      </w:divBdr>
    </w:div>
    <w:div w:id="1677266542">
      <w:bodyDiv w:val="1"/>
      <w:marLeft w:val="0"/>
      <w:marRight w:val="0"/>
      <w:marTop w:val="0"/>
      <w:marBottom w:val="0"/>
      <w:divBdr>
        <w:top w:val="none" w:sz="0" w:space="0" w:color="auto"/>
        <w:left w:val="none" w:sz="0" w:space="0" w:color="auto"/>
        <w:bottom w:val="none" w:sz="0" w:space="0" w:color="auto"/>
        <w:right w:val="none" w:sz="0" w:space="0" w:color="auto"/>
      </w:divBdr>
    </w:div>
    <w:div w:id="1980068003">
      <w:bodyDiv w:val="1"/>
      <w:marLeft w:val="0"/>
      <w:marRight w:val="0"/>
      <w:marTop w:val="0"/>
      <w:marBottom w:val="0"/>
      <w:divBdr>
        <w:top w:val="none" w:sz="0" w:space="0" w:color="auto"/>
        <w:left w:val="none" w:sz="0" w:space="0" w:color="auto"/>
        <w:bottom w:val="none" w:sz="0" w:space="0" w:color="auto"/>
        <w:right w:val="none" w:sz="0" w:space="0" w:color="auto"/>
      </w:divBdr>
    </w:div>
    <w:div w:id="21180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C2D2-4210-4520-AE12-97AC7797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61</Pages>
  <Words>15257</Words>
  <Characters>86966</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jnase</dc:creator>
  <cp:lastModifiedBy>joyce marie farner</cp:lastModifiedBy>
  <cp:revision>11</cp:revision>
  <cp:lastPrinted>2010-06-09T17:16:00Z</cp:lastPrinted>
  <dcterms:created xsi:type="dcterms:W3CDTF">2010-06-08T16:39:00Z</dcterms:created>
  <dcterms:modified xsi:type="dcterms:W3CDTF">2010-06-09T17:20:00Z</dcterms:modified>
</cp:coreProperties>
</file>